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0"/>
        <w:gridCol w:w="221"/>
      </w:tblGrid>
      <w:tr w:rsidR="009F3353" w:rsidRPr="009F3353" w14:paraId="0C34293C" w14:textId="77777777" w:rsidTr="009F3353">
        <w:trPr>
          <w:trHeight w:val="840"/>
        </w:trPr>
        <w:tc>
          <w:tcPr>
            <w:tcW w:w="8850" w:type="dxa"/>
          </w:tcPr>
          <w:tbl>
            <w:tblPr>
              <w:tblW w:w="9389" w:type="dxa"/>
              <w:tblLook w:val="0000" w:firstRow="0" w:lastRow="0" w:firstColumn="0" w:lastColumn="0" w:noHBand="0" w:noVBand="0"/>
            </w:tblPr>
            <w:tblGrid>
              <w:gridCol w:w="3528"/>
              <w:gridCol w:w="5861"/>
            </w:tblGrid>
            <w:tr w:rsidR="009F3353" w:rsidRPr="009F3353" w14:paraId="1C2A9B56" w14:textId="77777777" w:rsidTr="006D40EB">
              <w:tc>
                <w:tcPr>
                  <w:tcW w:w="3528" w:type="dxa"/>
                </w:tcPr>
                <w:p w14:paraId="30D4071E" w14:textId="77777777" w:rsidR="00ED2589" w:rsidRPr="009F3353" w:rsidRDefault="00ED2589" w:rsidP="00ED2589">
                  <w:pPr>
                    <w:jc w:val="center"/>
                    <w:rPr>
                      <w:sz w:val="26"/>
                      <w:szCs w:val="26"/>
                    </w:rPr>
                  </w:pPr>
                  <w:r w:rsidRPr="009F3353">
                    <w:rPr>
                      <w:sz w:val="26"/>
                      <w:szCs w:val="26"/>
                    </w:rPr>
                    <w:t>UBND TỈNH THÁI NGUYÊN</w:t>
                  </w:r>
                </w:p>
              </w:tc>
              <w:tc>
                <w:tcPr>
                  <w:tcW w:w="5861" w:type="dxa"/>
                </w:tcPr>
                <w:p w14:paraId="5121E3BD" w14:textId="77777777" w:rsidR="00ED2589" w:rsidRPr="009F3353" w:rsidRDefault="00ED2589" w:rsidP="00ED2589">
                  <w:pPr>
                    <w:jc w:val="center"/>
                    <w:rPr>
                      <w:b/>
                      <w:sz w:val="26"/>
                    </w:rPr>
                  </w:pPr>
                  <w:r w:rsidRPr="009F3353">
                    <w:rPr>
                      <w:b/>
                      <w:sz w:val="26"/>
                    </w:rPr>
                    <w:t>CỘNG HOÀ XÃ HỘI CHỦ NGHĨA VIỆT NAM</w:t>
                  </w:r>
                </w:p>
              </w:tc>
            </w:tr>
            <w:tr w:rsidR="009F3353" w:rsidRPr="009F3353" w14:paraId="0DC04701" w14:textId="77777777" w:rsidTr="006D40EB">
              <w:tc>
                <w:tcPr>
                  <w:tcW w:w="3528" w:type="dxa"/>
                </w:tcPr>
                <w:p w14:paraId="2995E545" w14:textId="77777777" w:rsidR="00ED2589" w:rsidRPr="009F3353" w:rsidRDefault="00ED2589" w:rsidP="00ED2589">
                  <w:pPr>
                    <w:jc w:val="center"/>
                    <w:rPr>
                      <w:b/>
                    </w:rPr>
                  </w:pPr>
                  <w:r w:rsidRPr="009F3353">
                    <w:rPr>
                      <w:b/>
                    </w:rPr>
                    <w:t>SỞ TÀI CHÍNH</w:t>
                  </w:r>
                </w:p>
              </w:tc>
              <w:tc>
                <w:tcPr>
                  <w:tcW w:w="5861" w:type="dxa"/>
                </w:tcPr>
                <w:p w14:paraId="7689564A" w14:textId="77777777" w:rsidR="00ED2589" w:rsidRPr="009F3353" w:rsidRDefault="00ED2589" w:rsidP="00ED2589">
                  <w:pPr>
                    <w:jc w:val="center"/>
                    <w:rPr>
                      <w:b/>
                      <w:lang w:val="pt-BR"/>
                    </w:rPr>
                  </w:pPr>
                  <w:r w:rsidRPr="009F3353">
                    <w:rPr>
                      <w:b/>
                      <w:lang w:val="pt-BR"/>
                    </w:rPr>
                    <w:t>Độc lập - Tự do - Hạnh phúc</w:t>
                  </w:r>
                </w:p>
              </w:tc>
            </w:tr>
            <w:tr w:rsidR="009F3353" w:rsidRPr="009F3353" w14:paraId="08C598CE" w14:textId="77777777" w:rsidTr="006D40EB">
              <w:tc>
                <w:tcPr>
                  <w:tcW w:w="3528" w:type="dxa"/>
                </w:tcPr>
                <w:p w14:paraId="2470970E" w14:textId="77777777" w:rsidR="00ED2589" w:rsidRPr="009F3353" w:rsidRDefault="00ED2589" w:rsidP="00ED2589">
                  <w:pPr>
                    <w:spacing w:before="360"/>
                    <w:jc w:val="center"/>
                  </w:pPr>
                  <w:r w:rsidRPr="009F3353">
                    <w:rPr>
                      <w:noProof/>
                      <w14:ligatures w14:val="standardContextual"/>
                    </w:rPr>
                    <mc:AlternateContent>
                      <mc:Choice Requires="wps">
                        <w:drawing>
                          <wp:anchor distT="0" distB="0" distL="114300" distR="114300" simplePos="0" relativeHeight="251659264" behindDoc="0" locked="0" layoutInCell="1" allowOverlap="1" wp14:anchorId="1D629755" wp14:editId="6A545D43">
                            <wp:simplePos x="0" y="0"/>
                            <wp:positionH relativeFrom="column">
                              <wp:posOffset>765810</wp:posOffset>
                            </wp:positionH>
                            <wp:positionV relativeFrom="paragraph">
                              <wp:posOffset>19050</wp:posOffset>
                            </wp:positionV>
                            <wp:extent cx="542925" cy="0"/>
                            <wp:effectExtent l="0" t="0" r="0" b="0"/>
                            <wp:wrapNone/>
                            <wp:docPr id="1868863442" name="Straight Connector 3"/>
                            <wp:cNvGraphicFramePr/>
                            <a:graphic xmlns:a="http://schemas.openxmlformats.org/drawingml/2006/main">
                              <a:graphicData uri="http://schemas.microsoft.com/office/word/2010/wordprocessingShape">
                                <wps:wsp>
                                  <wps:cNvCnPr/>
                                  <wps:spPr>
                                    <a:xfrm>
                                      <a:off x="0" y="0"/>
                                      <a:ext cx="542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9D92F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3pt,1.5pt" to="103.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" strokecolor="black [3040]"/>
                        </w:pict>
                      </mc:Fallback>
                    </mc:AlternateContent>
                  </w:r>
                  <w:r w:rsidRPr="009F3353">
                    <w:t>Số:          /TTr-STC</w:t>
                  </w:r>
                </w:p>
              </w:tc>
              <w:tc>
                <w:tcPr>
                  <w:tcW w:w="5861" w:type="dxa"/>
                </w:tcPr>
                <w:p w14:paraId="0E5FB594" w14:textId="08D7E4F7" w:rsidR="00ED2589" w:rsidRPr="009F3353" w:rsidRDefault="00ED2589" w:rsidP="006D40EB">
                  <w:pPr>
                    <w:keepNext/>
                    <w:spacing w:before="360"/>
                    <w:ind w:right="-244"/>
                    <w:outlineLvl w:val="0"/>
                    <w:rPr>
                      <w:i/>
                      <w:iCs/>
                    </w:rPr>
                  </w:pPr>
                  <w:r w:rsidRPr="009F3353">
                    <w:rPr>
                      <w:i/>
                      <w:iCs/>
                      <w:noProof/>
                      <w14:ligatures w14:val="standardContextual"/>
                    </w:rPr>
                    <mc:AlternateContent>
                      <mc:Choice Requires="wps">
                        <w:drawing>
                          <wp:anchor distT="0" distB="0" distL="114300" distR="114300" simplePos="0" relativeHeight="251660288" behindDoc="0" locked="0" layoutInCell="1" allowOverlap="1" wp14:anchorId="418AB4D2" wp14:editId="0147C232">
                            <wp:simplePos x="0" y="0"/>
                            <wp:positionH relativeFrom="column">
                              <wp:posOffset>648970</wp:posOffset>
                            </wp:positionH>
                            <wp:positionV relativeFrom="paragraph">
                              <wp:posOffset>19050</wp:posOffset>
                            </wp:positionV>
                            <wp:extent cx="2162175" cy="0"/>
                            <wp:effectExtent l="0" t="0" r="0" b="0"/>
                            <wp:wrapNone/>
                            <wp:docPr id="351922877"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7E4153"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1pt,1.5pt" to="221.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7rmgEAAIgDAAAOAAAAZHJzL2Uyb0RvYy54bWysU01P3DAQvSPxHyzf2SQrF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" strokecolor="black [3040]"/>
                        </w:pict>
                      </mc:Fallback>
                    </mc:AlternateContent>
                  </w:r>
                  <w:r w:rsidRPr="009F3353">
                    <w:rPr>
                      <w:i/>
                      <w:iCs/>
                    </w:rPr>
                    <w:t xml:space="preserve">Thái Nguyên, ngày         tháng </w:t>
                  </w:r>
                  <w:r w:rsidR="005875C9">
                    <w:rPr>
                      <w:i/>
                      <w:iCs/>
                    </w:rPr>
                    <w:t>6</w:t>
                  </w:r>
                  <w:r w:rsidRPr="009F3353">
                    <w:rPr>
                      <w:i/>
                      <w:iCs/>
                    </w:rPr>
                    <w:t xml:space="preserve"> năm 20</w:t>
                  </w:r>
                  <w:r w:rsidR="005875C9">
                    <w:rPr>
                      <w:i/>
                      <w:iCs/>
                    </w:rPr>
                    <w:t>25</w:t>
                  </w:r>
                </w:p>
              </w:tc>
            </w:tr>
          </w:tbl>
          <w:p w14:paraId="1852F1C6" w14:textId="72F94098" w:rsidR="00D55914" w:rsidRPr="009F3353" w:rsidRDefault="00D55914" w:rsidP="00ED2589">
            <w:pPr>
              <w:spacing w:before="480"/>
              <w:jc w:val="center"/>
              <w:rPr>
                <w:b/>
                <w:sz w:val="26"/>
                <w:szCs w:val="26"/>
                <w:lang w:val="pt-BR"/>
              </w:rPr>
            </w:pPr>
          </w:p>
        </w:tc>
        <w:tc>
          <w:tcPr>
            <w:tcW w:w="221" w:type="dxa"/>
          </w:tcPr>
          <w:p w14:paraId="672B8903" w14:textId="17B0C16D" w:rsidR="00D55914" w:rsidRPr="009F3353" w:rsidRDefault="00D55914" w:rsidP="00D55914">
            <w:pPr>
              <w:jc w:val="center"/>
              <w:rPr>
                <w:b/>
                <w:sz w:val="26"/>
                <w:szCs w:val="26"/>
                <w:lang w:val="pt-BR"/>
              </w:rPr>
            </w:pPr>
          </w:p>
        </w:tc>
      </w:tr>
      <w:tr w:rsidR="009F3353" w:rsidRPr="009F3353" w14:paraId="3212F44F" w14:textId="77777777" w:rsidTr="009F3353">
        <w:tc>
          <w:tcPr>
            <w:tcW w:w="8850" w:type="dxa"/>
          </w:tcPr>
          <w:p w14:paraId="481EA0EA" w14:textId="511AE616" w:rsidR="00D55914" w:rsidRPr="009F3353" w:rsidRDefault="00D55914" w:rsidP="00D55914">
            <w:pPr>
              <w:spacing w:line="288" w:lineRule="auto"/>
              <w:jc w:val="center"/>
              <w:rPr>
                <w:lang w:val="pt-BR"/>
              </w:rPr>
            </w:pPr>
          </w:p>
        </w:tc>
        <w:tc>
          <w:tcPr>
            <w:tcW w:w="221" w:type="dxa"/>
          </w:tcPr>
          <w:p w14:paraId="5A0FFABC" w14:textId="5F300ACB" w:rsidR="00D55914" w:rsidRPr="009F3353" w:rsidRDefault="00D55914" w:rsidP="00866484">
            <w:pPr>
              <w:jc w:val="center"/>
              <w:rPr>
                <w:b/>
                <w:sz w:val="26"/>
                <w:szCs w:val="26"/>
                <w:lang w:val="pt-BR"/>
              </w:rPr>
            </w:pPr>
          </w:p>
        </w:tc>
      </w:tr>
    </w:tbl>
    <w:p w14:paraId="4EEEDFE8" w14:textId="77777777" w:rsidR="009F3353" w:rsidRPr="009F3353" w:rsidRDefault="009F3353" w:rsidP="009F3353">
      <w:pPr>
        <w:jc w:val="center"/>
        <w:rPr>
          <w:b/>
          <w:lang w:val="pt-BR"/>
        </w:rPr>
      </w:pPr>
      <w:r w:rsidRPr="009F3353">
        <w:rPr>
          <w:b/>
          <w:lang w:val="pt-BR"/>
        </w:rPr>
        <w:t>TỜ TRÌNH</w:t>
      </w:r>
    </w:p>
    <w:p w14:paraId="007F6335" w14:textId="1AEF63CC" w:rsidR="00E360C6" w:rsidRPr="001E615F" w:rsidRDefault="00796152" w:rsidP="00E360C6">
      <w:pPr>
        <w:jc w:val="center"/>
        <w:rPr>
          <w:rFonts w:ascii="Times New Roman Bold" w:hAnsi="Times New Roman Bold"/>
          <w:b/>
          <w:color w:val="000000"/>
          <w:spacing w:val="4"/>
        </w:rPr>
      </w:pPr>
      <w:r>
        <w:rPr>
          <w:rFonts w:ascii="Times New Roman Bold" w:hAnsi="Times New Roman Bold"/>
          <w:b/>
          <w:spacing w:val="-8"/>
          <w:lang w:val="pt-BR"/>
        </w:rPr>
        <w:t xml:space="preserve">Dự thảo </w:t>
      </w:r>
      <w:r w:rsidR="00366C71">
        <w:rPr>
          <w:rFonts w:ascii="Times New Roman Bold" w:hAnsi="Times New Roman Bold"/>
          <w:b/>
          <w:spacing w:val="-8"/>
          <w:lang w:val="pt-BR"/>
        </w:rPr>
        <w:t>Quyết định s</w:t>
      </w:r>
      <w:r w:rsidR="00E360C6" w:rsidRPr="001E615F">
        <w:rPr>
          <w:b/>
          <w:color w:val="000000"/>
          <w:spacing w:val="4"/>
        </w:rPr>
        <w:t>ửa đổi, bổ sung một số điều của Quyết định số 64/2024/QĐ-UBND ngày 21</w:t>
      </w:r>
      <w:r w:rsidR="00E360C6">
        <w:rPr>
          <w:b/>
          <w:color w:val="000000"/>
          <w:spacing w:val="4"/>
        </w:rPr>
        <w:t xml:space="preserve"> tháng </w:t>
      </w:r>
      <w:r w:rsidR="00E360C6" w:rsidRPr="001E615F">
        <w:rPr>
          <w:b/>
          <w:color w:val="000000"/>
          <w:spacing w:val="4"/>
        </w:rPr>
        <w:t>12</w:t>
      </w:r>
      <w:r w:rsidR="00E360C6">
        <w:rPr>
          <w:b/>
          <w:color w:val="000000"/>
          <w:spacing w:val="4"/>
        </w:rPr>
        <w:t xml:space="preserve"> năm </w:t>
      </w:r>
      <w:r w:rsidR="00E360C6" w:rsidRPr="001E615F">
        <w:rPr>
          <w:b/>
          <w:color w:val="000000"/>
          <w:spacing w:val="4"/>
        </w:rPr>
        <w:t xml:space="preserve">2024 của Uỷ ban nhân dân tỉnh Thái Nguyên </w:t>
      </w:r>
      <w:r w:rsidR="00366C71">
        <w:rPr>
          <w:b/>
          <w:color w:val="000000"/>
          <w:spacing w:val="4"/>
        </w:rPr>
        <w:t>q</w:t>
      </w:r>
      <w:r w:rsidR="00E360C6" w:rsidRPr="001E615F">
        <w:rPr>
          <w:b/>
          <w:color w:val="000000"/>
          <w:spacing w:val="4"/>
        </w:rPr>
        <w:t xml:space="preserve">uy định </w:t>
      </w:r>
      <w:r w:rsidR="00E360C6" w:rsidRPr="001E615F">
        <w:rPr>
          <w:rFonts w:ascii="Times New Roman Bold" w:hAnsi="Times New Roman Bold"/>
          <w:b/>
          <w:color w:val="000000"/>
          <w:spacing w:val="4"/>
          <w:lang w:val="pt-BR"/>
        </w:rPr>
        <w:t xml:space="preserve">mức tỷ lệ phần trăm (%) </w:t>
      </w:r>
      <w:r w:rsidR="00E360C6" w:rsidRPr="001E615F">
        <w:rPr>
          <w:rFonts w:ascii="Times New Roman Bold" w:hAnsi="Times New Roman Bold"/>
          <w:b/>
          <w:color w:val="000000"/>
          <w:spacing w:val="4"/>
        </w:rPr>
        <w:t>để tính đơn giá thuê đất, mức tỷ lệ (%) thu đối với đất xây dựng công trình ngầm, mức tỷ lệ (%) thu đối với đất có mặt nước trên địa bàn tỉnh Thái Nguyên</w:t>
      </w:r>
    </w:p>
    <w:p w14:paraId="3A40899C" w14:textId="77777777" w:rsidR="009F3353" w:rsidRPr="009F3353" w:rsidRDefault="009F3353" w:rsidP="009F3353">
      <w:pPr>
        <w:jc w:val="center"/>
        <w:rPr>
          <w:b/>
          <w:spacing w:val="4"/>
          <w:lang w:val="pt-BR"/>
        </w:rPr>
      </w:pPr>
      <w:r w:rsidRPr="009F3353">
        <w:rPr>
          <w:b/>
          <w:noProof/>
          <w:spacing w:val="4"/>
          <w:lang w:val="vi-VN" w:eastAsia="vi-VN"/>
        </w:rPr>
        <mc:AlternateContent>
          <mc:Choice Requires="wps">
            <w:drawing>
              <wp:anchor distT="4294967293" distB="4294967293" distL="114300" distR="114300" simplePos="0" relativeHeight="251662336" behindDoc="0" locked="0" layoutInCell="1" allowOverlap="1" wp14:anchorId="293952BA" wp14:editId="17277148">
                <wp:simplePos x="0" y="0"/>
                <wp:positionH relativeFrom="column">
                  <wp:posOffset>2370455</wp:posOffset>
                </wp:positionH>
                <wp:positionV relativeFrom="paragraph">
                  <wp:posOffset>19049</wp:posOffset>
                </wp:positionV>
                <wp:extent cx="1028700" cy="0"/>
                <wp:effectExtent l="0" t="0" r="0" b="0"/>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89875" id="Line 16"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6.65pt,1.5pt" to="267.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"/>
            </w:pict>
          </mc:Fallback>
        </mc:AlternateContent>
      </w:r>
    </w:p>
    <w:p w14:paraId="58EC09DA" w14:textId="77777777" w:rsidR="009F3353" w:rsidRPr="009F3353" w:rsidRDefault="009F3353" w:rsidP="009F3353">
      <w:pPr>
        <w:jc w:val="center"/>
        <w:rPr>
          <w:lang w:val="pt-BR"/>
        </w:rPr>
      </w:pPr>
      <w:r w:rsidRPr="009F3353">
        <w:rPr>
          <w:lang w:val="pt-BR"/>
        </w:rPr>
        <w:t>Kính gửi: Uỷ ban nhân dân tỉnh Thái Nguyên.</w:t>
      </w:r>
    </w:p>
    <w:p w14:paraId="7242C469" w14:textId="77777777" w:rsidR="009F3353" w:rsidRPr="009F3353" w:rsidRDefault="009F3353" w:rsidP="00E360C6">
      <w:pPr>
        <w:tabs>
          <w:tab w:val="left" w:pos="720"/>
          <w:tab w:val="left" w:pos="1440"/>
          <w:tab w:val="left" w:pos="2160"/>
          <w:tab w:val="left" w:pos="2865"/>
        </w:tabs>
        <w:spacing w:line="360" w:lineRule="atLeast"/>
        <w:jc w:val="both"/>
        <w:rPr>
          <w:b/>
          <w:lang w:val="pt-BR"/>
        </w:rPr>
      </w:pPr>
      <w:r w:rsidRPr="009F3353">
        <w:rPr>
          <w:b/>
          <w:lang w:val="pt-BR"/>
        </w:rPr>
        <w:tab/>
      </w:r>
    </w:p>
    <w:p w14:paraId="7683CD36" w14:textId="1905082C" w:rsidR="009F3353" w:rsidRPr="00E360C6" w:rsidRDefault="009F3353" w:rsidP="00E360C6">
      <w:pPr>
        <w:jc w:val="both"/>
        <w:rPr>
          <w:shd w:val="clear" w:color="auto" w:fill="FFFFFF"/>
          <w:lang w:val="pt-BR"/>
        </w:rPr>
      </w:pPr>
      <w:r w:rsidRPr="009F3353">
        <w:rPr>
          <w:b/>
          <w:lang w:val="pt-BR"/>
        </w:rPr>
        <w:tab/>
      </w:r>
      <w:r w:rsidRPr="00E360C6">
        <w:rPr>
          <w:lang w:val="pt-BR"/>
        </w:rPr>
        <w:t xml:space="preserve">Thực hiện </w:t>
      </w:r>
      <w:r w:rsidR="00E360C6" w:rsidRPr="00E360C6">
        <w:rPr>
          <w:lang w:val="pt-BR"/>
        </w:rPr>
        <w:t xml:space="preserve">quy định của Luật Ban hành văn bản quy phạm pháp luật, </w:t>
      </w:r>
      <w:r w:rsidRPr="00E360C6">
        <w:rPr>
          <w:spacing w:val="-4"/>
          <w:lang w:val="pt-BR"/>
        </w:rPr>
        <w:t xml:space="preserve">Sở Tài chính </w:t>
      </w:r>
      <w:r w:rsidRPr="00E360C6">
        <w:rPr>
          <w:shd w:val="clear" w:color="auto" w:fill="FFFFFF"/>
          <w:lang w:val="pt-BR"/>
        </w:rPr>
        <w:t xml:space="preserve">kính </w:t>
      </w:r>
      <w:r w:rsidR="009A3E38" w:rsidRPr="00E360C6">
        <w:rPr>
          <w:shd w:val="clear" w:color="auto" w:fill="FFFFFF"/>
          <w:lang w:val="pt-BR"/>
        </w:rPr>
        <w:t>trình</w:t>
      </w:r>
      <w:r w:rsidRPr="00E360C6">
        <w:rPr>
          <w:shd w:val="clear" w:color="auto" w:fill="FFFFFF"/>
          <w:lang w:val="pt-BR"/>
        </w:rPr>
        <w:t xml:space="preserve"> Ủy ban nhân dân tỉnh </w:t>
      </w:r>
      <w:r w:rsidR="00796152" w:rsidRPr="00E360C6">
        <w:rPr>
          <w:shd w:val="clear" w:color="auto" w:fill="FFFFFF"/>
          <w:lang w:val="pt-BR"/>
        </w:rPr>
        <w:t xml:space="preserve">Dự thảo Quyết định </w:t>
      </w:r>
      <w:r w:rsidR="00366C71">
        <w:rPr>
          <w:color w:val="000000"/>
          <w:spacing w:val="4"/>
        </w:rPr>
        <w:t>s</w:t>
      </w:r>
      <w:r w:rsidR="00E360C6" w:rsidRPr="00E360C6">
        <w:rPr>
          <w:color w:val="000000"/>
          <w:spacing w:val="4"/>
        </w:rPr>
        <w:t xml:space="preserve">ửa đổi, bổ sung một số điều của Quyết định số 64/2024/QĐ-UBND ngày 21 tháng 12 năm 2024 của Uỷ ban nhân dân tỉnh Thái Nguyên </w:t>
      </w:r>
      <w:r w:rsidR="00366C71">
        <w:rPr>
          <w:color w:val="000000"/>
          <w:spacing w:val="4"/>
        </w:rPr>
        <w:t>q</w:t>
      </w:r>
      <w:r w:rsidR="00E360C6" w:rsidRPr="00E360C6">
        <w:rPr>
          <w:color w:val="000000"/>
          <w:spacing w:val="4"/>
        </w:rPr>
        <w:t xml:space="preserve">uy </w:t>
      </w:r>
      <w:r w:rsidR="00E360C6" w:rsidRPr="00E360C6">
        <w:rPr>
          <w:shd w:val="clear" w:color="auto" w:fill="FFFFFF"/>
          <w:lang w:val="pt-BR"/>
        </w:rPr>
        <w:t>định mức tỷ lệ phần trăm (%) để tính đơn giá thuê đất, mức tỷ lệ (%) thu đối với đất xây dựng công trình ngầm, mức tỷ lệ (%) thu đối với đất có mặt nước trên địa bàn tỉnh Thái Nguyên</w:t>
      </w:r>
      <w:r w:rsidR="00E360C6" w:rsidRPr="00E360C6">
        <w:rPr>
          <w:shd w:val="clear" w:color="auto" w:fill="FFFFFF"/>
          <w:lang w:val="pt-BR"/>
        </w:rPr>
        <w:t xml:space="preserve"> </w:t>
      </w:r>
      <w:r w:rsidRPr="00E360C6">
        <w:rPr>
          <w:shd w:val="clear" w:color="auto" w:fill="FFFFFF"/>
          <w:lang w:val="pt-BR"/>
        </w:rPr>
        <w:t>như sau:</w:t>
      </w:r>
    </w:p>
    <w:p w14:paraId="39649671" w14:textId="2C0ED44C" w:rsidR="009F3353" w:rsidRDefault="009F3353" w:rsidP="00AD7B67">
      <w:pPr>
        <w:spacing w:before="120" w:line="340" w:lineRule="exact"/>
        <w:ind w:firstLine="567"/>
        <w:jc w:val="both"/>
        <w:rPr>
          <w:b/>
          <w:iCs/>
          <w:lang w:val="pt-BR"/>
        </w:rPr>
      </w:pPr>
      <w:r w:rsidRPr="009F3353">
        <w:rPr>
          <w:b/>
          <w:lang w:val="pt-BR"/>
        </w:rPr>
        <w:t xml:space="preserve">I. </w:t>
      </w:r>
      <w:r w:rsidRPr="009F3353">
        <w:rPr>
          <w:b/>
          <w:iCs/>
          <w:lang w:val="pt-BR"/>
        </w:rPr>
        <w:t xml:space="preserve">SỰ CẦN THIẾT BAN HÀNH </w:t>
      </w:r>
      <w:r w:rsidR="003231CC">
        <w:rPr>
          <w:b/>
          <w:iCs/>
          <w:lang w:val="pt-BR"/>
        </w:rPr>
        <w:t>VĂN BẢN</w:t>
      </w:r>
    </w:p>
    <w:p w14:paraId="7D2709AC" w14:textId="77777777" w:rsidR="00EB24E8" w:rsidRPr="00735679" w:rsidRDefault="00EB24E8" w:rsidP="00EB24E8">
      <w:pPr>
        <w:spacing w:before="120" w:line="360" w:lineRule="exact"/>
        <w:ind w:firstLine="567"/>
        <w:jc w:val="both"/>
        <w:rPr>
          <w:bCs/>
          <w:iCs/>
          <w:color w:val="000000" w:themeColor="text1"/>
          <w:lang w:val="pt-BR"/>
        </w:rPr>
      </w:pPr>
      <w:r w:rsidRPr="00735679">
        <w:rPr>
          <w:bCs/>
          <w:iCs/>
          <w:color w:val="000000" w:themeColor="text1"/>
          <w:lang w:val="pt-BR"/>
        </w:rPr>
        <w:t>1. Cơ sở chính trị, pháp lý</w:t>
      </w:r>
    </w:p>
    <w:p w14:paraId="5DAAF475" w14:textId="77777777" w:rsidR="00EB24E8" w:rsidRPr="00735679" w:rsidRDefault="00EB24E8" w:rsidP="00EB24E8">
      <w:pPr>
        <w:pStyle w:val="NormalWeb"/>
        <w:shd w:val="clear" w:color="auto" w:fill="FFFFFF"/>
        <w:spacing w:before="120" w:beforeAutospacing="0" w:after="0" w:afterAutospacing="0" w:line="360" w:lineRule="exact"/>
        <w:ind w:left="-142" w:firstLine="709"/>
        <w:jc w:val="both"/>
        <w:rPr>
          <w:iCs/>
          <w:color w:val="000000" w:themeColor="text1"/>
          <w:sz w:val="28"/>
          <w:szCs w:val="28"/>
          <w:lang w:val="nl-NL"/>
        </w:rPr>
      </w:pPr>
      <w:r w:rsidRPr="00735679">
        <w:rPr>
          <w:iCs/>
          <w:color w:val="000000" w:themeColor="text1"/>
          <w:sz w:val="28"/>
          <w:szCs w:val="28"/>
          <w:lang w:val="nl-NL"/>
        </w:rPr>
        <w:t>Căn cứ Luật Đất đai ngày 18 tháng 01 năm 2024;</w:t>
      </w:r>
    </w:p>
    <w:p w14:paraId="027118C8" w14:textId="77777777" w:rsidR="00EB24E8" w:rsidRPr="00735679" w:rsidRDefault="00EB24E8" w:rsidP="00EB24E8">
      <w:pPr>
        <w:pStyle w:val="NormalWeb"/>
        <w:shd w:val="clear" w:color="auto" w:fill="FFFFFF"/>
        <w:spacing w:before="120" w:beforeAutospacing="0" w:after="0" w:afterAutospacing="0" w:line="360" w:lineRule="exact"/>
        <w:ind w:left="-142" w:firstLine="709"/>
        <w:jc w:val="both"/>
        <w:rPr>
          <w:iCs/>
          <w:color w:val="000000" w:themeColor="text1"/>
          <w:sz w:val="28"/>
          <w:szCs w:val="28"/>
          <w:lang w:val="nl-NL"/>
        </w:rPr>
      </w:pPr>
      <w:r w:rsidRPr="00735679">
        <w:rPr>
          <w:iCs/>
          <w:color w:val="000000" w:themeColor="text1"/>
          <w:sz w:val="28"/>
          <w:szCs w:val="28"/>
          <w:lang w:val="nl-NL"/>
        </w:rPr>
        <w:t xml:space="preserve">Căn cứ Nghị định số 103/2024/NĐ-CP ngày 30 tháng 7 năm 2024 của Chính phủ quy định về tiền sử dụng đất, tiền thuê đất; </w:t>
      </w:r>
    </w:p>
    <w:p w14:paraId="47D04FD4" w14:textId="77777777" w:rsidR="00EB24E8" w:rsidRDefault="00EB24E8" w:rsidP="00EB24E8">
      <w:pPr>
        <w:pStyle w:val="NormalWeb"/>
        <w:shd w:val="clear" w:color="auto" w:fill="FFFFFF"/>
        <w:spacing w:before="120" w:beforeAutospacing="0" w:after="0" w:afterAutospacing="0" w:line="360" w:lineRule="exact"/>
        <w:ind w:left="-142" w:firstLine="709"/>
        <w:jc w:val="both"/>
        <w:rPr>
          <w:iCs/>
          <w:color w:val="000000" w:themeColor="text1"/>
          <w:sz w:val="28"/>
          <w:szCs w:val="28"/>
          <w:lang w:val="nl-NL"/>
        </w:rPr>
      </w:pPr>
      <w:r w:rsidRPr="00735679">
        <w:rPr>
          <w:iCs/>
          <w:color w:val="000000" w:themeColor="text1"/>
          <w:sz w:val="28"/>
          <w:szCs w:val="28"/>
          <w:lang w:val="nl-NL"/>
        </w:rPr>
        <w:t>Căn cứ Nghị quyết số 101/NQ-HĐND ngày 10 tháng 12 năm 2024 của Hội đồng nhân dân tỉnh cho ý kiến về mức tỷ lệ phần trăm (%) để tính đơn giá thuê đất, mức tỷ lệ (%) thu đối với đất xây dựng công trình ngầm, mức tỷ lệ (%) thu đối với đất có mặt nước trên địa bàn tỉnh Thái Nguyên.</w:t>
      </w:r>
    </w:p>
    <w:p w14:paraId="685564C2" w14:textId="4818856C" w:rsidR="00EB24E8" w:rsidRPr="002B0A9E" w:rsidRDefault="00EB24E8" w:rsidP="00EB24E8">
      <w:pPr>
        <w:pStyle w:val="NormalWeb"/>
        <w:shd w:val="clear" w:color="auto" w:fill="FFFFFF"/>
        <w:spacing w:before="120" w:beforeAutospacing="0" w:after="0" w:afterAutospacing="0" w:line="360" w:lineRule="exact"/>
        <w:ind w:left="-142" w:firstLine="709"/>
        <w:jc w:val="both"/>
        <w:rPr>
          <w:iCs/>
          <w:color w:val="000000" w:themeColor="text1"/>
          <w:spacing w:val="-4"/>
          <w:sz w:val="28"/>
          <w:szCs w:val="28"/>
          <w:lang w:val="nl-NL"/>
        </w:rPr>
      </w:pPr>
      <w:r w:rsidRPr="002B0A9E">
        <w:rPr>
          <w:iCs/>
          <w:color w:val="000000" w:themeColor="text1"/>
          <w:spacing w:val="-4"/>
          <w:sz w:val="28"/>
          <w:szCs w:val="28"/>
          <w:lang w:val="nl-NL"/>
        </w:rPr>
        <w:t xml:space="preserve">Căn cứ Nghị quyết số </w:t>
      </w:r>
      <w:r w:rsidR="00366C71">
        <w:rPr>
          <w:iCs/>
          <w:color w:val="000000" w:themeColor="text1"/>
          <w:spacing w:val="-4"/>
          <w:sz w:val="28"/>
          <w:szCs w:val="28"/>
          <w:lang w:val="nl-NL"/>
        </w:rPr>
        <w:t>...</w:t>
      </w:r>
      <w:r w:rsidR="007A4323">
        <w:rPr>
          <w:iCs/>
          <w:color w:val="000000" w:themeColor="text1"/>
          <w:spacing w:val="-4"/>
          <w:sz w:val="28"/>
          <w:szCs w:val="28"/>
          <w:lang w:val="nl-NL"/>
        </w:rPr>
        <w:t xml:space="preserve"> </w:t>
      </w:r>
      <w:r w:rsidRPr="002B0A9E">
        <w:rPr>
          <w:iCs/>
          <w:color w:val="000000" w:themeColor="text1"/>
          <w:spacing w:val="-4"/>
          <w:sz w:val="28"/>
          <w:szCs w:val="28"/>
          <w:lang w:val="nl-NL"/>
        </w:rPr>
        <w:t xml:space="preserve">  </w:t>
      </w:r>
      <w:r w:rsidRPr="002B0A9E">
        <w:rPr>
          <w:iCs/>
          <w:color w:val="000000" w:themeColor="text1"/>
          <w:spacing w:val="-4"/>
          <w:sz w:val="28"/>
          <w:szCs w:val="28"/>
          <w:lang w:val="nl-NL"/>
        </w:rPr>
        <w:t xml:space="preserve">/NQ-HĐND ngày </w:t>
      </w:r>
      <w:r w:rsidRPr="002B0A9E">
        <w:rPr>
          <w:iCs/>
          <w:color w:val="000000" w:themeColor="text1"/>
          <w:spacing w:val="-4"/>
          <w:sz w:val="28"/>
          <w:szCs w:val="28"/>
          <w:lang w:val="nl-NL"/>
        </w:rPr>
        <w:t xml:space="preserve">  </w:t>
      </w:r>
      <w:r w:rsidRPr="002B0A9E">
        <w:rPr>
          <w:iCs/>
          <w:color w:val="000000" w:themeColor="text1"/>
          <w:spacing w:val="-4"/>
          <w:sz w:val="28"/>
          <w:szCs w:val="28"/>
          <w:lang w:val="nl-NL"/>
        </w:rPr>
        <w:t xml:space="preserve"> tháng </w:t>
      </w:r>
      <w:r w:rsidRPr="002B0A9E">
        <w:rPr>
          <w:iCs/>
          <w:color w:val="000000" w:themeColor="text1"/>
          <w:spacing w:val="-4"/>
          <w:sz w:val="28"/>
          <w:szCs w:val="28"/>
          <w:lang w:val="nl-NL"/>
        </w:rPr>
        <w:t>7</w:t>
      </w:r>
      <w:r w:rsidRPr="002B0A9E">
        <w:rPr>
          <w:iCs/>
          <w:color w:val="000000" w:themeColor="text1"/>
          <w:spacing w:val="-4"/>
          <w:sz w:val="28"/>
          <w:szCs w:val="28"/>
          <w:lang w:val="nl-NL"/>
        </w:rPr>
        <w:t xml:space="preserve"> năm 202</w:t>
      </w:r>
      <w:r w:rsidRPr="002B0A9E">
        <w:rPr>
          <w:iCs/>
          <w:color w:val="000000" w:themeColor="text1"/>
          <w:spacing w:val="-4"/>
          <w:sz w:val="28"/>
          <w:szCs w:val="28"/>
          <w:lang w:val="nl-NL"/>
        </w:rPr>
        <w:t>5</w:t>
      </w:r>
      <w:r w:rsidRPr="002B0A9E">
        <w:rPr>
          <w:iCs/>
          <w:color w:val="000000" w:themeColor="text1"/>
          <w:spacing w:val="-4"/>
          <w:sz w:val="28"/>
          <w:szCs w:val="28"/>
          <w:lang w:val="nl-NL"/>
        </w:rPr>
        <w:t xml:space="preserve"> của Hội đồng nhân dân tỉnh sửa đổi, bổ sung một số điều của Nghị quyết số 101/NQ-HĐND ngày 10 tháng 12 năm 2024 của Hội đồng nhân dân tỉnh cho ý kiến về mức tỷ lệ phần trăm (%) để tính đơn giá thuê đất, mức tỷ lệ (%) thu đối với đất xây dựng công trình ngầm, mức tỷ lệ (%) thu đối với đất có mặt nước trên địa bàn tỉnh Thái Nguyên</w:t>
      </w:r>
      <w:r w:rsidR="002B0A9E" w:rsidRPr="002B0A9E">
        <w:rPr>
          <w:iCs/>
          <w:color w:val="000000" w:themeColor="text1"/>
          <w:spacing w:val="-4"/>
          <w:sz w:val="28"/>
          <w:szCs w:val="28"/>
          <w:lang w:val="nl-NL"/>
        </w:rPr>
        <w:t>.</w:t>
      </w:r>
    </w:p>
    <w:p w14:paraId="1D934113" w14:textId="77777777" w:rsidR="00EB24E8" w:rsidRPr="00735679" w:rsidRDefault="00EB24E8" w:rsidP="00EB24E8">
      <w:pPr>
        <w:spacing w:before="120" w:line="360" w:lineRule="exact"/>
        <w:ind w:firstLine="567"/>
        <w:jc w:val="both"/>
        <w:rPr>
          <w:color w:val="000000" w:themeColor="text1"/>
        </w:rPr>
      </w:pPr>
      <w:r w:rsidRPr="00735679">
        <w:rPr>
          <w:color w:val="000000" w:themeColor="text1"/>
        </w:rPr>
        <w:t>2. Cơ sở thực tiễn</w:t>
      </w:r>
    </w:p>
    <w:p w14:paraId="35344434" w14:textId="77777777" w:rsidR="00EB24E8" w:rsidRPr="00735679" w:rsidRDefault="00EB24E8" w:rsidP="00EB24E8">
      <w:pPr>
        <w:spacing w:before="120" w:line="360" w:lineRule="exact"/>
        <w:ind w:firstLine="567"/>
        <w:jc w:val="both"/>
        <w:rPr>
          <w:color w:val="000000" w:themeColor="text1"/>
          <w:spacing w:val="-4"/>
        </w:rPr>
      </w:pPr>
      <w:r w:rsidRPr="00735679">
        <w:rPr>
          <w:color w:val="000000" w:themeColor="text1"/>
          <w:shd w:val="clear" w:color="auto" w:fill="FFFFFF"/>
          <w:lang w:val="pt-BR"/>
        </w:rPr>
        <w:t xml:space="preserve">Căn cứ quy định của Luật Đất đai năm 2024; Điều 26, 27, 28 Nghị định số 103/2024/NĐ-CP ngày 30/7/2024 của Chính phủ quy định về tiền sử dụng đất, tiền thuê đất, HĐND tỉnh đã ban hành Nghị quyết số 101/NQ-HĐND ngày 10/12/2024 cho ý kiến về mức tỷ lệ phần trăm (%) để tính đơn giá thuê đất, </w:t>
      </w:r>
      <w:r w:rsidRPr="00735679">
        <w:rPr>
          <w:color w:val="000000" w:themeColor="text1"/>
          <w:shd w:val="clear" w:color="auto" w:fill="FFFFFF"/>
          <w:lang w:val="pt-BR"/>
        </w:rPr>
        <w:br/>
      </w:r>
      <w:r w:rsidRPr="00735679">
        <w:rPr>
          <w:color w:val="000000" w:themeColor="text1"/>
          <w:shd w:val="clear" w:color="auto" w:fill="FFFFFF"/>
          <w:lang w:val="pt-BR"/>
        </w:rPr>
        <w:lastRenderedPageBreak/>
        <w:t xml:space="preserve">mức tỷ lệ (%) thu đối với đất xây dựng công trình ngầm, mức tỷ lệ (%) </w:t>
      </w:r>
      <w:r w:rsidRPr="00735679">
        <w:rPr>
          <w:color w:val="000000" w:themeColor="text1"/>
          <w:shd w:val="clear" w:color="auto" w:fill="FFFFFF"/>
          <w:lang w:val="pt-BR"/>
        </w:rPr>
        <w:br/>
        <w:t>thu đối với đất có mặt nước trên địa bàn tỉnh</w:t>
      </w:r>
      <w:r w:rsidRPr="00735679">
        <w:rPr>
          <w:color w:val="000000" w:themeColor="text1"/>
          <w:spacing w:val="-4"/>
        </w:rPr>
        <w:t xml:space="preserve"> Thái Nguyên và UBND tỉnh đã ban hành Quyết định số 64/QĐ-UBND ngày 21 tháng 12 năm 2024 </w:t>
      </w:r>
      <w:bookmarkStart w:id="0" w:name="loai_1_name"/>
      <w:r w:rsidRPr="00735679">
        <w:rPr>
          <w:color w:val="000000" w:themeColor="text1"/>
          <w:spacing w:val="-4"/>
        </w:rPr>
        <w:t>quy định mức tỷ lệ phần trăm (%) để tính đơn giá thuê đất, mức tỷ lệ (%) thu đối với đất xây dựng công trình ngầm, mức tỷ lệ (%) thu đối với đất có mặt nước trên địa bàn tỉnh Thái Nguyên</w:t>
      </w:r>
      <w:bookmarkEnd w:id="0"/>
      <w:r w:rsidRPr="00735679">
        <w:rPr>
          <w:color w:val="000000" w:themeColor="text1"/>
          <w:spacing w:val="-4"/>
        </w:rPr>
        <w:t>, theo đó quy định các nội dung liên quan đến các xã, phường thuộc UBND cấp huyện.</w:t>
      </w:r>
    </w:p>
    <w:p w14:paraId="3129519D" w14:textId="02E50503" w:rsidR="00EB24E8" w:rsidRPr="00735679" w:rsidRDefault="00EB24E8" w:rsidP="00EB24E8">
      <w:pPr>
        <w:spacing w:before="120" w:line="360" w:lineRule="exact"/>
        <w:ind w:firstLine="567"/>
        <w:jc w:val="both"/>
        <w:rPr>
          <w:color w:val="000000" w:themeColor="text1"/>
        </w:rPr>
      </w:pPr>
      <w:r w:rsidRPr="00735679">
        <w:rPr>
          <w:color w:val="000000" w:themeColor="text1"/>
        </w:rPr>
        <w:t>Ngày 23/4/2025, Hội đồng nhân dân tỉnh đã ban hành Nghị quyết số 31/NQ-HĐND ngày 23/4/2025 về chủ trương sắp xếp đơn vị hành chính cấp xã của tỉnh Thái Nguyên năm 2025</w:t>
      </w:r>
      <w:r>
        <w:rPr>
          <w:color w:val="000000" w:themeColor="text1"/>
        </w:rPr>
        <w:t xml:space="preserve">, theo đó </w:t>
      </w:r>
      <w:r w:rsidR="00366C71">
        <w:rPr>
          <w:color w:val="000000" w:themeColor="text1"/>
        </w:rPr>
        <w:t xml:space="preserve">các </w:t>
      </w:r>
      <w:r>
        <w:rPr>
          <w:color w:val="000000" w:themeColor="text1"/>
        </w:rPr>
        <w:t>xã, phường sẽ thay đổi sau sắp xếp.</w:t>
      </w:r>
    </w:p>
    <w:p w14:paraId="192CBBE5" w14:textId="77777777" w:rsidR="00EB24E8" w:rsidRPr="00735679" w:rsidRDefault="00EB24E8" w:rsidP="00EB24E8">
      <w:pPr>
        <w:spacing w:before="120" w:line="360" w:lineRule="exact"/>
        <w:ind w:firstLine="567"/>
        <w:jc w:val="both"/>
        <w:rPr>
          <w:color w:val="000000" w:themeColor="text1"/>
          <w:spacing w:val="-2"/>
        </w:rPr>
      </w:pPr>
      <w:r w:rsidRPr="00735679">
        <w:rPr>
          <w:color w:val="000000" w:themeColor="text1"/>
          <w:spacing w:val="-2"/>
        </w:rPr>
        <w:t>Tại Công văn số 393/TTg-PL ngày 05/4/2025 của Thủ tướng Chính phủ về việc rà soát và xử lý các văn bản quy phạm pháp luật liên quan đến việc sắp xếp, tổ chức chính quyền địa phương hai cấp, tại mục 3 Thủ tướng chính phủ chỉ đạo:</w:t>
      </w:r>
    </w:p>
    <w:p w14:paraId="6430FB15" w14:textId="77777777" w:rsidR="00EB24E8" w:rsidRPr="00735679" w:rsidRDefault="00EB24E8" w:rsidP="00EB24E8">
      <w:pPr>
        <w:spacing w:before="120" w:line="360" w:lineRule="exact"/>
        <w:ind w:firstLine="567"/>
        <w:jc w:val="both"/>
        <w:rPr>
          <w:i/>
          <w:iCs/>
          <w:color w:val="000000" w:themeColor="text1"/>
        </w:rPr>
      </w:pPr>
      <w:r w:rsidRPr="00735679">
        <w:rPr>
          <w:i/>
          <w:iCs/>
          <w:color w:val="000000" w:themeColor="text1"/>
        </w:rPr>
        <w:t>“Hội đồng nhân dân, Uỷ ban nhân dân các cấp trong phạm vi nhiệm vụ, quyền hạn được giao có trách nhiệm chỉ đạo nghiên cứu, thực hiện xử lý văn bản quy phạm pháp luật do mình ban hành hoặc tham mưu cấp có thẩm quyền ban hành, bảo đảm phù hợp với phương án tổ chức chính quyền địa phương hai cấp và văn bản của cơ quan nhà nước cấp trên.</w:t>
      </w:r>
    </w:p>
    <w:p w14:paraId="461D4BFD" w14:textId="199EB976" w:rsidR="00EB24E8" w:rsidRPr="00A05AB8" w:rsidRDefault="00EB24E8" w:rsidP="00A05AB8">
      <w:pPr>
        <w:spacing w:before="120" w:line="360" w:lineRule="exact"/>
        <w:ind w:right="170" w:firstLine="567"/>
        <w:jc w:val="both"/>
        <w:rPr>
          <w:color w:val="000000" w:themeColor="text1"/>
          <w:spacing w:val="-2"/>
          <w:lang w:val="nl-NL"/>
        </w:rPr>
      </w:pPr>
      <w:r w:rsidRPr="00735679">
        <w:rPr>
          <w:color w:val="000000" w:themeColor="text1"/>
          <w:spacing w:val="-2"/>
          <w:lang w:val="nl-NL"/>
        </w:rPr>
        <w:t xml:space="preserve">Thực hiện nhiệm vụ UBND tỉnh giao tại </w:t>
      </w:r>
      <w:r w:rsidR="00366C71">
        <w:rPr>
          <w:color w:val="000000" w:themeColor="text1"/>
          <w:spacing w:val="-2"/>
          <w:lang w:val="nl-NL"/>
        </w:rPr>
        <w:t xml:space="preserve">các </w:t>
      </w:r>
      <w:r w:rsidRPr="00735679">
        <w:rPr>
          <w:color w:val="000000" w:themeColor="text1"/>
          <w:spacing w:val="-2"/>
          <w:lang w:val="nl-NL"/>
        </w:rPr>
        <w:t xml:space="preserve">Văn bản: </w:t>
      </w:r>
      <w:r w:rsidRPr="00735679">
        <w:rPr>
          <w:color w:val="000000" w:themeColor="text1"/>
        </w:rPr>
        <w:t xml:space="preserve">số 3652/UBND-NC ngày 17/5/2025 về việc tham mưu hoàn thiện hệ thống văn bản QPPL phục vụ triển khai mô hình địa phương 02 cấp; </w:t>
      </w:r>
      <w:r w:rsidRPr="00735679">
        <w:rPr>
          <w:color w:val="000000" w:themeColor="text1"/>
          <w:spacing w:val="-2"/>
          <w:lang w:val="nl-NL"/>
        </w:rPr>
        <w:t xml:space="preserve">số 4367/UBND-KT ngày 05/6/2025 về việc phân công cơ quan chủ trì soạn thảo văn bản quy phạm pháp luật, Sở Tài chính </w:t>
      </w:r>
      <w:r w:rsidR="007A4323">
        <w:rPr>
          <w:color w:val="000000" w:themeColor="text1"/>
          <w:spacing w:val="-2"/>
          <w:lang w:val="nl-NL"/>
        </w:rPr>
        <w:t xml:space="preserve">xây dựng </w:t>
      </w:r>
      <w:r w:rsidR="007A4323" w:rsidRPr="00E360C6">
        <w:rPr>
          <w:shd w:val="clear" w:color="auto" w:fill="FFFFFF"/>
          <w:lang w:val="pt-BR"/>
        </w:rPr>
        <w:t xml:space="preserve">Dự thảo Quyết định </w:t>
      </w:r>
      <w:r w:rsidR="00A05AB8">
        <w:rPr>
          <w:color w:val="000000"/>
          <w:spacing w:val="4"/>
        </w:rPr>
        <w:t>s</w:t>
      </w:r>
      <w:r w:rsidR="007A4323" w:rsidRPr="00E360C6">
        <w:rPr>
          <w:color w:val="000000"/>
          <w:spacing w:val="4"/>
        </w:rPr>
        <w:t xml:space="preserve">ửa đổi, bổ sung một số điều của Quyết định số 64/2024/QĐ-UBND ngày 21 tháng 12 năm 2024 của Uỷ ban nhân dân tỉnh Thái Nguyên </w:t>
      </w:r>
      <w:r w:rsidR="00366C71">
        <w:rPr>
          <w:color w:val="000000"/>
          <w:spacing w:val="4"/>
        </w:rPr>
        <w:t>q</w:t>
      </w:r>
      <w:r w:rsidR="007A4323" w:rsidRPr="00E360C6">
        <w:rPr>
          <w:color w:val="000000"/>
          <w:spacing w:val="4"/>
        </w:rPr>
        <w:t xml:space="preserve">uy </w:t>
      </w:r>
      <w:r w:rsidR="007A4323" w:rsidRPr="00E360C6">
        <w:rPr>
          <w:shd w:val="clear" w:color="auto" w:fill="FFFFFF"/>
          <w:lang w:val="pt-BR"/>
        </w:rPr>
        <w:t>định mức tỷ lệ phần trăm (%) để tính đơn giá thuê đất, mức tỷ lệ (%) thu đối với đất xây dựng công trình ngầm, mức tỷ lệ (%) thu đối với đất có mặt nước trên địa bàn tỉnh Thái Nguyên</w:t>
      </w:r>
      <w:r w:rsidR="00A05AB8">
        <w:rPr>
          <w:color w:val="000000" w:themeColor="text1"/>
          <w:spacing w:val="-2"/>
          <w:lang w:val="nl-NL"/>
        </w:rPr>
        <w:t xml:space="preserve"> </w:t>
      </w:r>
      <w:r w:rsidRPr="00735679">
        <w:rPr>
          <w:rFonts w:eastAsia="Calibri"/>
          <w:color w:val="000000" w:themeColor="text1"/>
        </w:rPr>
        <w:t>là cần thiết, phù hợp với</w:t>
      </w:r>
      <w:r w:rsidRPr="00735679">
        <w:rPr>
          <w:color w:val="000000" w:themeColor="text1"/>
          <w:lang w:val="pt-BR"/>
        </w:rPr>
        <w:t xml:space="preserve"> quy định của pháp luật hiện hành</w:t>
      </w:r>
      <w:r w:rsidRPr="00735679">
        <w:rPr>
          <w:rFonts w:eastAsia="Calibri"/>
          <w:color w:val="000000" w:themeColor="text1"/>
        </w:rPr>
        <w:t xml:space="preserve"> và tình hình thực tế hiện nay.</w:t>
      </w:r>
    </w:p>
    <w:p w14:paraId="190C084B" w14:textId="3E4AF3D3" w:rsidR="009F3353" w:rsidRPr="00684B95" w:rsidRDefault="009F3353" w:rsidP="00AD7B67">
      <w:pPr>
        <w:spacing w:before="120" w:line="340" w:lineRule="exact"/>
        <w:ind w:firstLine="567"/>
        <w:jc w:val="both"/>
        <w:rPr>
          <w:b/>
        </w:rPr>
      </w:pPr>
      <w:r w:rsidRPr="009F3353">
        <w:rPr>
          <w:b/>
          <w:lang w:val="vi-VN"/>
        </w:rPr>
        <w:t>II. MỤC ĐÍCH</w:t>
      </w:r>
      <w:r w:rsidR="00C87A8E">
        <w:rPr>
          <w:b/>
        </w:rPr>
        <w:t xml:space="preserve"> BAN HÀNH</w:t>
      </w:r>
      <w:r w:rsidRPr="009F3353">
        <w:rPr>
          <w:b/>
          <w:lang w:val="vi-VN"/>
        </w:rPr>
        <w:t xml:space="preserve">, QUAN ĐIỂM XÂY DỰNG </w:t>
      </w:r>
      <w:r w:rsidR="00C87A8E">
        <w:rPr>
          <w:b/>
        </w:rPr>
        <w:t xml:space="preserve">DỰ THẢO </w:t>
      </w:r>
      <w:r w:rsidR="00684B95">
        <w:rPr>
          <w:b/>
        </w:rPr>
        <w:t>VĂN BẢN</w:t>
      </w:r>
    </w:p>
    <w:p w14:paraId="7DA6DB44" w14:textId="30AA084F" w:rsidR="009F3353" w:rsidRPr="009F3353" w:rsidRDefault="009F3353" w:rsidP="00AD7B67">
      <w:pPr>
        <w:spacing w:before="120" w:line="340" w:lineRule="exact"/>
        <w:ind w:firstLine="567"/>
        <w:jc w:val="both"/>
        <w:rPr>
          <w:lang w:val="pt-BR"/>
        </w:rPr>
      </w:pPr>
      <w:r w:rsidRPr="009F3353">
        <w:rPr>
          <w:b/>
          <w:lang w:val="pt-BR"/>
        </w:rPr>
        <w:t>1. Mục đích</w:t>
      </w:r>
      <w:r w:rsidR="00684B95">
        <w:rPr>
          <w:b/>
          <w:lang w:val="pt-BR"/>
        </w:rPr>
        <w:t xml:space="preserve"> ban hành văn bản</w:t>
      </w:r>
    </w:p>
    <w:p w14:paraId="57F179E7" w14:textId="77777777" w:rsidR="0056441B" w:rsidRPr="00735679" w:rsidRDefault="00B3739F" w:rsidP="0056441B">
      <w:pPr>
        <w:spacing w:before="120" w:line="360" w:lineRule="exact"/>
        <w:ind w:firstLine="567"/>
        <w:jc w:val="both"/>
        <w:rPr>
          <w:color w:val="000000" w:themeColor="text1"/>
          <w:spacing w:val="-6"/>
          <w:lang w:val="pt-BR"/>
        </w:rPr>
      </w:pPr>
      <w:r w:rsidRPr="00DA3E28">
        <w:rPr>
          <w:lang w:val="nl-NL"/>
        </w:rPr>
        <w:t xml:space="preserve">Việc xây dựng </w:t>
      </w:r>
      <w:r w:rsidR="0056441B">
        <w:rPr>
          <w:lang w:val="nl-NL"/>
        </w:rPr>
        <w:t xml:space="preserve">và ban hành </w:t>
      </w:r>
      <w:bookmarkStart w:id="1" w:name="_Hlk200288712"/>
      <w:r w:rsidR="0056441B" w:rsidRPr="00735679">
        <w:rPr>
          <w:color w:val="000000" w:themeColor="text1"/>
          <w:lang w:val="pt-BR"/>
        </w:rPr>
        <w:t xml:space="preserve">Quyết định sửa đổi, bổ sung một số điều của </w:t>
      </w:r>
      <w:r w:rsidR="0056441B" w:rsidRPr="00735679">
        <w:rPr>
          <w:color w:val="000000" w:themeColor="text1"/>
        </w:rPr>
        <w:t>Quyết định số 64/QĐ-UBND ngày 21 tháng 12 năm 2024 của Uỷ ban nhân dân tỉnh Thái Nguyên quy định mức tỷ lệ phần trăm (%) để tính đơn giá thuê đất, mức tỷ lệ (%) thu đối với đất xây dựng công trình ngầm, mức tỷ lệ (%) thu đối với đất có mặt nước trên địa bàn tỉnh Thái Nguyên</w:t>
      </w:r>
      <w:bookmarkEnd w:id="1"/>
      <w:r w:rsidR="0056441B" w:rsidRPr="00735679">
        <w:rPr>
          <w:color w:val="000000" w:themeColor="text1"/>
        </w:rPr>
        <w:t xml:space="preserve"> </w:t>
      </w:r>
      <w:r w:rsidR="0056441B" w:rsidRPr="00735679">
        <w:rPr>
          <w:color w:val="000000" w:themeColor="text1"/>
          <w:spacing w:val="-6"/>
          <w:lang w:val="pt-BR"/>
        </w:rPr>
        <w:t>để thống nhất thực hiện trên địa bàn tỉnh.</w:t>
      </w:r>
    </w:p>
    <w:p w14:paraId="20365B6A" w14:textId="65DE7A3E" w:rsidR="009F3353" w:rsidRPr="009F3353" w:rsidRDefault="009F3353" w:rsidP="00AD7B67">
      <w:pPr>
        <w:spacing w:before="120" w:line="340" w:lineRule="exact"/>
        <w:ind w:firstLine="567"/>
        <w:jc w:val="both"/>
        <w:rPr>
          <w:b/>
          <w:lang w:val="pt-BR"/>
        </w:rPr>
      </w:pPr>
      <w:r w:rsidRPr="009F3353">
        <w:rPr>
          <w:b/>
          <w:lang w:val="pt-BR"/>
        </w:rPr>
        <w:t xml:space="preserve">2. Quan điểm </w:t>
      </w:r>
      <w:r w:rsidR="00684B95">
        <w:rPr>
          <w:b/>
          <w:lang w:val="pt-BR"/>
        </w:rPr>
        <w:t>xây dựng dự thảo văn bản</w:t>
      </w:r>
    </w:p>
    <w:p w14:paraId="544E5601" w14:textId="77777777" w:rsidR="0056441B" w:rsidRDefault="00D017C8" w:rsidP="0056441B">
      <w:pPr>
        <w:spacing w:before="120" w:line="360" w:lineRule="exact"/>
        <w:ind w:firstLine="567"/>
        <w:jc w:val="both"/>
        <w:rPr>
          <w:color w:val="000000" w:themeColor="text1"/>
          <w:lang w:val="pt-BR"/>
        </w:rPr>
      </w:pPr>
      <w:r>
        <w:rPr>
          <w:spacing w:val="-6"/>
          <w:lang w:val="pt-BR"/>
        </w:rPr>
        <w:lastRenderedPageBreak/>
        <w:t>Việc x</w:t>
      </w:r>
      <w:r w:rsidR="009F3353" w:rsidRPr="009F3353">
        <w:rPr>
          <w:spacing w:val="-6"/>
          <w:lang w:val="pt-BR"/>
        </w:rPr>
        <w:t xml:space="preserve">ây dựng </w:t>
      </w:r>
      <w:r w:rsidR="0056441B">
        <w:rPr>
          <w:spacing w:val="-6"/>
          <w:lang w:val="pt-BR"/>
        </w:rPr>
        <w:t xml:space="preserve">dự thảo quy định </w:t>
      </w:r>
      <w:r w:rsidR="0056441B" w:rsidRPr="00735679">
        <w:rPr>
          <w:color w:val="000000" w:themeColor="text1"/>
          <w:lang w:val="pt-BR"/>
        </w:rPr>
        <w:t xml:space="preserve">sửa đổi, bổ sung một số điều của </w:t>
      </w:r>
      <w:r w:rsidR="0056441B" w:rsidRPr="00735679">
        <w:rPr>
          <w:color w:val="000000" w:themeColor="text1"/>
        </w:rPr>
        <w:t>Quyết định số 64/QĐ-UBND ngày 21 tháng 12 năm 2024 của Uỷ ban nhân dân tỉnh Thái Nguyên quy định mức tỷ lệ phần trăm (%) để tính đơn giá thuê đất, mức tỷ lệ (%) thu đối với đất xây dựng công trình ngầm, mức tỷ lệ (%) thu đối với đất có mặt nước trên địa bàn tỉnh Thái Nguyên</w:t>
      </w:r>
      <w:r w:rsidR="0056441B">
        <w:rPr>
          <w:color w:val="000000" w:themeColor="text1"/>
        </w:rPr>
        <w:t xml:space="preserve"> </w:t>
      </w:r>
      <w:r w:rsidR="0056441B" w:rsidRPr="00735679">
        <w:rPr>
          <w:color w:val="000000" w:themeColor="text1"/>
          <w:spacing w:val="-6"/>
        </w:rPr>
        <w:t xml:space="preserve">phải đảm bảo yêu cầu về tính hợp pháp và thống nhất trong hệ thống văn bản pháp luật; tuân thủ đúng trình tự, thủ tục xây dựng, ban hành văn bản, đúng thẩm quyền ban hành; đảm bảo công khai, minh bạch trong việc tiếp nhận, phản hồi ý kiến, kiến nghị của các tổ chức, cá nhân trong quá trình xây dựng và ban hành </w:t>
      </w:r>
      <w:r w:rsidR="0056441B">
        <w:rPr>
          <w:color w:val="000000" w:themeColor="text1"/>
          <w:spacing w:val="-6"/>
        </w:rPr>
        <w:t>Quyết định</w:t>
      </w:r>
      <w:r w:rsidR="0056441B" w:rsidRPr="00735679">
        <w:rPr>
          <w:color w:val="000000" w:themeColor="text1"/>
          <w:spacing w:val="-6"/>
        </w:rPr>
        <w:t>; mức tỷ lệ phần trăm được xác định phù hợp với tình hình cụ thể của địa phương và quy định của pháp luật.</w:t>
      </w:r>
    </w:p>
    <w:p w14:paraId="03BA4748" w14:textId="751ACA1A" w:rsidR="009F3353" w:rsidRDefault="00BE54AF" w:rsidP="00AD7B67">
      <w:pPr>
        <w:spacing w:before="120" w:line="340" w:lineRule="exact"/>
        <w:ind w:firstLine="567"/>
        <w:jc w:val="both"/>
        <w:rPr>
          <w:b/>
          <w:lang w:val="pt-BR"/>
        </w:rPr>
      </w:pPr>
      <w:r>
        <w:rPr>
          <w:b/>
          <w:lang w:val="pt-BR"/>
        </w:rPr>
        <w:t>I</w:t>
      </w:r>
      <w:r w:rsidR="0056441B">
        <w:rPr>
          <w:b/>
          <w:lang w:val="pt-BR"/>
        </w:rPr>
        <w:t>II</w:t>
      </w:r>
      <w:r w:rsidR="009F3353" w:rsidRPr="009F3353">
        <w:rPr>
          <w:b/>
          <w:lang w:val="pt-BR"/>
        </w:rPr>
        <w:t xml:space="preserve">. QUÁ TRÌNH XÂY DỰNG </w:t>
      </w:r>
      <w:r w:rsidR="00684B95">
        <w:rPr>
          <w:b/>
          <w:lang w:val="pt-BR"/>
        </w:rPr>
        <w:t>DỰ THẢO VĂN BẢN</w:t>
      </w:r>
    </w:p>
    <w:p w14:paraId="5BD642C3" w14:textId="77777777" w:rsidR="002578FB" w:rsidRPr="00735679" w:rsidRDefault="002578FB" w:rsidP="002578FB">
      <w:pPr>
        <w:spacing w:before="120" w:line="360" w:lineRule="exact"/>
        <w:ind w:firstLine="567"/>
        <w:jc w:val="both"/>
        <w:rPr>
          <w:color w:val="000000" w:themeColor="text1"/>
        </w:rPr>
      </w:pPr>
      <w:r w:rsidRPr="00735679">
        <w:rPr>
          <w:bCs/>
          <w:color w:val="000000" w:themeColor="text1"/>
          <w:kern w:val="18"/>
          <w:lang w:val="pt-BR"/>
        </w:rPr>
        <w:t>Thực hiện</w:t>
      </w:r>
      <w:r w:rsidRPr="00735679">
        <w:rPr>
          <w:noProof/>
          <w:color w:val="000000" w:themeColor="text1"/>
        </w:rPr>
        <w:t xml:space="preserve"> nhiệm vụ UBND tỉnh giao tại các Công văn số 3652/UBND-NC ngày 17/5/2025 về tham mưu hoàn thiện hệ thống văn bản QPPL phục vụ triển </w:t>
      </w:r>
      <w:r w:rsidRPr="00735679">
        <w:rPr>
          <w:noProof/>
          <w:color w:val="000000" w:themeColor="text1"/>
          <w:spacing w:val="-6"/>
        </w:rPr>
        <w:t xml:space="preserve">khai mô hình tổ chức chính quyền địa phương 02 cấp; Công văn </w:t>
      </w:r>
      <w:r w:rsidRPr="00735679">
        <w:rPr>
          <w:color w:val="000000" w:themeColor="text1"/>
          <w:spacing w:val="-6"/>
          <w:lang w:val="nl-NL"/>
        </w:rPr>
        <w:t>số 4367/UBND-KT ngày 05/6/2025</w:t>
      </w:r>
      <w:r w:rsidRPr="00735679">
        <w:rPr>
          <w:color w:val="000000" w:themeColor="text1"/>
          <w:spacing w:val="-6"/>
          <w:lang w:val="pt-BR"/>
        </w:rPr>
        <w:t xml:space="preserve"> </w:t>
      </w:r>
      <w:r w:rsidRPr="00735679">
        <w:rPr>
          <w:color w:val="000000" w:themeColor="text1"/>
          <w:spacing w:val="-6"/>
        </w:rPr>
        <w:t xml:space="preserve">về </w:t>
      </w:r>
      <w:r w:rsidRPr="00735679">
        <w:rPr>
          <w:color w:val="000000" w:themeColor="text1"/>
          <w:spacing w:val="-4"/>
        </w:rPr>
        <w:t>việc phân công cơ quan chủ trì soạn thảo văn bản quy phạm pháp luật</w:t>
      </w:r>
      <w:r w:rsidRPr="00735679">
        <w:rPr>
          <w:noProof/>
          <w:color w:val="000000" w:themeColor="text1"/>
        </w:rPr>
        <w:t xml:space="preserve">, Sở Tài chính đã có Công văn số 2825/STC-QLGDN ngày 27/5/2025 về việc rà soát và đề xuất đơn giá thuê đất, thuê mặt nước trên địa bàn tỉnh Thái Nguyên gửi các đơn vị có liên quan và các địa phương để rà soát, đánh giá tình hình thực hiện </w:t>
      </w:r>
      <w:r w:rsidRPr="00735679">
        <w:rPr>
          <w:color w:val="000000" w:themeColor="text1"/>
        </w:rPr>
        <w:t>Quyết định số 64/QĐ-UBND ngày 21 tháng 12 năm 2024 của Uỷ ban nhân dân tỉnh Thái Nguyên</w:t>
      </w:r>
      <w:r w:rsidRPr="00735679">
        <w:rPr>
          <w:noProof/>
          <w:color w:val="000000" w:themeColor="text1"/>
        </w:rPr>
        <w:t xml:space="preserve"> và đề xuất </w:t>
      </w:r>
      <w:r w:rsidRPr="00735679">
        <w:rPr>
          <w:color w:val="000000" w:themeColor="text1"/>
        </w:rPr>
        <w:t>mức tỷ lệ (%) để tính đơn giá thuê đất, mức tỷ lệ (%) thu đối với đất xây dựng công trình ngầm, mức tỷ lệ (%) thu đối với đất có mặt nước theo quy định tại Nghị định số 103/2024/NĐ-CP.</w:t>
      </w:r>
    </w:p>
    <w:p w14:paraId="6D8DEA3B" w14:textId="793D99BD" w:rsidR="008E0BCA" w:rsidRDefault="002578FB" w:rsidP="00AD7B67">
      <w:pPr>
        <w:spacing w:before="120" w:line="340" w:lineRule="exact"/>
        <w:ind w:firstLine="567"/>
        <w:jc w:val="both"/>
      </w:pPr>
      <w:r w:rsidRPr="00735679">
        <w:rPr>
          <w:color w:val="000000" w:themeColor="text1"/>
        </w:rPr>
        <w:t xml:space="preserve">Trên cơ sở báo cáo đánh giá và đề xuất của các đơn vị, địa phương và đối </w:t>
      </w:r>
      <w:r w:rsidRPr="00735679">
        <w:rPr>
          <w:color w:val="000000" w:themeColor="text1"/>
          <w:shd w:val="clear" w:color="auto" w:fill="FFFFFF"/>
          <w:lang w:val="pt-BR"/>
        </w:rPr>
        <w:t xml:space="preserve">chiếu với mức khung quy định tại </w:t>
      </w:r>
      <w:r w:rsidRPr="00735679">
        <w:rPr>
          <w:color w:val="000000" w:themeColor="text1"/>
          <w:spacing w:val="-6"/>
          <w:lang w:val="pt-BR"/>
        </w:rPr>
        <w:t>Nghị định số 103/2024/NĐ-CP ngày 30/7/2024 của Chính phủ</w:t>
      </w:r>
      <w:r>
        <w:t>, n</w:t>
      </w:r>
      <w:r w:rsidR="003F03FA">
        <w:t xml:space="preserve">gày 05/11/2024, Sở Tài chính đã có Tờ trình số </w:t>
      </w:r>
      <w:r w:rsidR="008E0BCA">
        <w:t xml:space="preserve">         </w:t>
      </w:r>
      <w:r w:rsidR="003F03FA">
        <w:t xml:space="preserve">/TTr-STC về việc đề nghị Uỷ ban nhân dân tỉnh </w:t>
      </w:r>
      <w:r w:rsidR="008E0BCA">
        <w:t xml:space="preserve">trình HĐND tỉnh ban hành Nghị quyết </w:t>
      </w:r>
      <w:r w:rsidR="008E0BCA" w:rsidRPr="00735679">
        <w:rPr>
          <w:color w:val="000000" w:themeColor="text1"/>
        </w:rPr>
        <w:t>sửa đổi, bổ sung một số điều của Nghị quyết số 101/NQ-HĐND ngày 10 tháng 12 năm 2024 của Hội đồng nhân dân tỉnh cho ý kiến về mức tỷ lệ phần trăm (%) để tính đơn giá thuê đất, mức tỷ lệ (%) thu đối với đất xây dựng công trình ngầm, mức tỷ lệ (%) thu đối với đất có mặt nước trên địa bàn tỉnh Thái</w:t>
      </w:r>
      <w:r w:rsidR="008E0BCA" w:rsidRPr="00735679">
        <w:rPr>
          <w:i/>
          <w:color w:val="000000" w:themeColor="text1"/>
        </w:rPr>
        <w:t xml:space="preserve"> </w:t>
      </w:r>
      <w:r w:rsidR="008E0BCA" w:rsidRPr="00735679">
        <w:rPr>
          <w:iCs/>
          <w:color w:val="000000" w:themeColor="text1"/>
        </w:rPr>
        <w:t>Nguyên.</w:t>
      </w:r>
    </w:p>
    <w:p w14:paraId="165AA21B" w14:textId="28C7369F" w:rsidR="00A54B30" w:rsidRDefault="00A54B30" w:rsidP="00AD7B67">
      <w:pPr>
        <w:spacing w:before="120" w:line="340" w:lineRule="exact"/>
        <w:ind w:firstLine="567"/>
        <w:jc w:val="both"/>
      </w:pPr>
      <w:r w:rsidRPr="0003340E">
        <w:t>Ngày</w:t>
      </w:r>
      <w:r w:rsidR="0003340E">
        <w:t xml:space="preserve"> </w:t>
      </w:r>
      <w:r w:rsidR="008E0BCA">
        <w:t xml:space="preserve">      /7/2025</w:t>
      </w:r>
      <w:r w:rsidRPr="0003340E">
        <w:t>,</w:t>
      </w:r>
      <w:r w:rsidR="0003340E">
        <w:t xml:space="preserve"> </w:t>
      </w:r>
      <w:r w:rsidRPr="0003340E">
        <w:t xml:space="preserve">Hội đồng nhân dân tỉnh đã ban hành Nghị quyết số </w:t>
      </w:r>
      <w:r w:rsidR="008E0BCA">
        <w:t>…….</w:t>
      </w:r>
      <w:r w:rsidRPr="0003340E">
        <w:t xml:space="preserve">/NQ-HĐND </w:t>
      </w:r>
      <w:r w:rsidR="008E0BCA" w:rsidRPr="00735679">
        <w:rPr>
          <w:color w:val="000000" w:themeColor="text1"/>
        </w:rPr>
        <w:t>sửa đổi, bổ sung một số điều của Nghị quyết số 101/NQ-HĐND ngày 10 tháng 12 năm 2024 của Hội đồng nhân dân tỉnh cho ý kiến về mức tỷ lệ phần trăm (%) để tính đơn giá thuê đất, mức tỷ lệ (%) thu đối với đất xây dựng công trình ngầm, mức tỷ lệ (%) thu đối với đất có mặt nước trên địa bàn tỉnh Thái</w:t>
      </w:r>
      <w:r w:rsidR="008E0BCA" w:rsidRPr="00735679">
        <w:rPr>
          <w:i/>
          <w:color w:val="000000" w:themeColor="text1"/>
        </w:rPr>
        <w:t xml:space="preserve"> </w:t>
      </w:r>
      <w:r w:rsidR="008E0BCA" w:rsidRPr="00735679">
        <w:rPr>
          <w:iCs/>
          <w:color w:val="000000" w:themeColor="text1"/>
        </w:rPr>
        <w:t>Nguyên</w:t>
      </w:r>
      <w:r w:rsidR="00366C71">
        <w:rPr>
          <w:iCs/>
          <w:color w:val="000000" w:themeColor="text1"/>
        </w:rPr>
        <w:t xml:space="preserve"> làm căn cứ để ban hành Quyết định.</w:t>
      </w:r>
    </w:p>
    <w:p w14:paraId="7D64DCCD" w14:textId="63236EDD" w:rsidR="009A3E38" w:rsidRPr="007910CB" w:rsidRDefault="009A3E38" w:rsidP="00AD7B67">
      <w:pPr>
        <w:shd w:val="clear" w:color="auto" w:fill="FFFFFF"/>
        <w:tabs>
          <w:tab w:val="left" w:pos="709"/>
        </w:tabs>
        <w:spacing w:before="120" w:line="360" w:lineRule="exact"/>
        <w:ind w:firstLine="567"/>
        <w:jc w:val="both"/>
        <w:rPr>
          <w:spacing w:val="-6"/>
          <w:lang w:val="pt-BR"/>
        </w:rPr>
      </w:pPr>
      <w:r w:rsidRPr="007910CB">
        <w:rPr>
          <w:lang w:val="fi-FI"/>
        </w:rPr>
        <w:t xml:space="preserve">Dự thảo quyết </w:t>
      </w:r>
      <w:r>
        <w:rPr>
          <w:lang w:val="fi-FI"/>
        </w:rPr>
        <w:t xml:space="preserve">định của UBND tỉnh </w:t>
      </w:r>
      <w:r w:rsidRPr="007910CB">
        <w:rPr>
          <w:lang w:val="fi-FI"/>
        </w:rPr>
        <w:t xml:space="preserve">đã được xây dựng theo đúng quy trình xây dựng văn bản quy phạm pháp luật, Sở Tài chính đã gửi văn bản lấy ý kiến của </w:t>
      </w:r>
      <w:r>
        <w:rPr>
          <w:lang w:val="fi-FI"/>
        </w:rPr>
        <w:lastRenderedPageBreak/>
        <w:t xml:space="preserve">Uỷ ban mặt trận tổ quốc tỉnh, </w:t>
      </w:r>
      <w:r w:rsidRPr="007910CB">
        <w:rPr>
          <w:lang w:val="fi-FI"/>
        </w:rPr>
        <w:t xml:space="preserve">các Sở, </w:t>
      </w:r>
      <w:r w:rsidRPr="007910CB">
        <w:rPr>
          <w:spacing w:val="-6"/>
          <w:lang w:val="fi-FI"/>
        </w:rPr>
        <w:t xml:space="preserve">ngành, địa phương tại văn bản </w:t>
      </w:r>
      <w:r w:rsidR="008E0BCA">
        <w:rPr>
          <w:spacing w:val="-6"/>
          <w:lang w:val="fi-FI"/>
        </w:rPr>
        <w:t>........</w:t>
      </w:r>
      <w:r w:rsidRPr="007910CB">
        <w:rPr>
          <w:spacing w:val="-6"/>
          <w:lang w:val="fi-FI"/>
        </w:rPr>
        <w:t>/</w:t>
      </w:r>
      <w:r w:rsidRPr="007910CB">
        <w:rPr>
          <w:spacing w:val="-6"/>
          <w:lang w:val="pt-BR"/>
        </w:rPr>
        <w:t xml:space="preserve">STC-QLGDN ngày </w:t>
      </w:r>
      <w:r w:rsidR="008E0BCA">
        <w:rPr>
          <w:spacing w:val="-6"/>
          <w:lang w:val="pt-BR"/>
        </w:rPr>
        <w:t xml:space="preserve">      </w:t>
      </w:r>
      <w:r>
        <w:rPr>
          <w:spacing w:val="-6"/>
          <w:lang w:val="pt-BR"/>
        </w:rPr>
        <w:t>/</w:t>
      </w:r>
      <w:r w:rsidR="008E0BCA">
        <w:rPr>
          <w:spacing w:val="-6"/>
          <w:lang w:val="pt-BR"/>
        </w:rPr>
        <w:t>6</w:t>
      </w:r>
      <w:r>
        <w:rPr>
          <w:spacing w:val="-6"/>
          <w:lang w:val="pt-BR"/>
        </w:rPr>
        <w:t>/202</w:t>
      </w:r>
      <w:r w:rsidR="008E0BCA">
        <w:rPr>
          <w:spacing w:val="-6"/>
          <w:lang w:val="pt-BR"/>
        </w:rPr>
        <w:t>5 và đăng trên Cổng thông tin điện tử của Sở Tài chính</w:t>
      </w:r>
      <w:r w:rsidRPr="007910CB">
        <w:rPr>
          <w:spacing w:val="-6"/>
          <w:lang w:val="pt-BR"/>
        </w:rPr>
        <w:t>.</w:t>
      </w:r>
    </w:p>
    <w:p w14:paraId="2177ACC5" w14:textId="56CD7E9C" w:rsidR="009A3E38" w:rsidRPr="00CA01CD" w:rsidRDefault="009A3E38" w:rsidP="00AD7B67">
      <w:pPr>
        <w:shd w:val="clear" w:color="auto" w:fill="FFFFFF"/>
        <w:tabs>
          <w:tab w:val="left" w:pos="709"/>
        </w:tabs>
        <w:spacing w:before="120" w:line="360" w:lineRule="exact"/>
        <w:ind w:firstLine="567"/>
        <w:jc w:val="both"/>
        <w:rPr>
          <w:color w:val="FF0000"/>
          <w:spacing w:val="-6"/>
          <w:lang w:val="fi-FI"/>
        </w:rPr>
      </w:pPr>
      <w:r w:rsidRPr="007910CB">
        <w:rPr>
          <w:lang w:val="fi-FI"/>
        </w:rPr>
        <w:t xml:space="preserve"> Trên cơ sở các nội dung góp ý</w:t>
      </w:r>
      <w:r w:rsidR="00CA01CD">
        <w:rPr>
          <w:lang w:val="fi-FI"/>
        </w:rPr>
        <w:t xml:space="preserve"> của các cơ quan, đơn vị, địa phương;</w:t>
      </w:r>
      <w:r w:rsidRPr="007910CB">
        <w:rPr>
          <w:lang w:val="fi-FI"/>
        </w:rPr>
        <w:t xml:space="preserve"> ý kiến thẩm định của Sở Tư pháp tại Báo cáo số </w:t>
      </w:r>
      <w:r w:rsidR="008E0BCA">
        <w:rPr>
          <w:lang w:val="fi-FI"/>
        </w:rPr>
        <w:t xml:space="preserve">         </w:t>
      </w:r>
      <w:r>
        <w:rPr>
          <w:lang w:val="fi-FI"/>
        </w:rPr>
        <w:t xml:space="preserve">/BC-STP ngày </w:t>
      </w:r>
      <w:r w:rsidR="008E0BCA">
        <w:rPr>
          <w:lang w:val="fi-FI"/>
        </w:rPr>
        <w:t xml:space="preserve">  /6/2025</w:t>
      </w:r>
      <w:r w:rsidRPr="007910CB">
        <w:rPr>
          <w:lang w:val="fi-FI"/>
        </w:rPr>
        <w:t xml:space="preserve"> thẩm định văn bản quy phạm pháp luật</w:t>
      </w:r>
      <w:r w:rsidR="00CA01CD">
        <w:rPr>
          <w:spacing w:val="-12"/>
          <w:lang w:val="fi-FI"/>
        </w:rPr>
        <w:t xml:space="preserve">, </w:t>
      </w:r>
      <w:r w:rsidRPr="007910CB">
        <w:rPr>
          <w:spacing w:val="-12"/>
          <w:lang w:val="fi-FI"/>
        </w:rPr>
        <w:t xml:space="preserve">Sở Tài chính đã </w:t>
      </w:r>
      <w:r w:rsidRPr="006320C1">
        <w:rPr>
          <w:spacing w:val="-12"/>
          <w:lang w:val="fi-FI"/>
        </w:rPr>
        <w:t xml:space="preserve">có Công văn số </w:t>
      </w:r>
      <w:r w:rsidR="008E0BCA">
        <w:rPr>
          <w:spacing w:val="-12"/>
          <w:lang w:val="fi-FI"/>
        </w:rPr>
        <w:t>.......</w:t>
      </w:r>
      <w:r w:rsidRPr="006320C1">
        <w:rPr>
          <w:spacing w:val="-12"/>
          <w:lang w:val="fi-FI"/>
        </w:rPr>
        <w:t xml:space="preserve">/STC-QLGDN ngày </w:t>
      </w:r>
      <w:r w:rsidR="005C227C">
        <w:rPr>
          <w:spacing w:val="-12"/>
          <w:lang w:val="fi-FI"/>
        </w:rPr>
        <w:t>....</w:t>
      </w:r>
      <w:r w:rsidR="008E0BCA">
        <w:rPr>
          <w:spacing w:val="-12"/>
          <w:lang w:val="fi-FI"/>
        </w:rPr>
        <w:t>6/</w:t>
      </w:r>
      <w:r w:rsidR="005C227C">
        <w:rPr>
          <w:spacing w:val="-12"/>
          <w:lang w:val="fi-FI"/>
        </w:rPr>
        <w:t>2025</w:t>
      </w:r>
      <w:r w:rsidRPr="006320C1">
        <w:rPr>
          <w:spacing w:val="-12"/>
          <w:lang w:val="fi-FI"/>
        </w:rPr>
        <w:t xml:space="preserve"> </w:t>
      </w:r>
      <w:r w:rsidRPr="006320C1">
        <w:rPr>
          <w:spacing w:val="-6"/>
          <w:lang w:val="fi-FI"/>
        </w:rPr>
        <w:t xml:space="preserve">tiếp thu, giải trình, hoàn thiện dự thảo </w:t>
      </w:r>
      <w:r w:rsidR="00CA01CD" w:rsidRPr="006320C1">
        <w:rPr>
          <w:spacing w:val="-6"/>
          <w:lang w:val="fi-FI"/>
        </w:rPr>
        <w:t>Quyết định</w:t>
      </w:r>
      <w:r w:rsidRPr="006320C1">
        <w:rPr>
          <w:spacing w:val="-6"/>
          <w:lang w:val="fi-FI"/>
        </w:rPr>
        <w:t>.</w:t>
      </w:r>
      <w:r w:rsidRPr="006320C1">
        <w:rPr>
          <w:lang w:val="fi-FI"/>
        </w:rPr>
        <w:t xml:space="preserve"> </w:t>
      </w:r>
    </w:p>
    <w:p w14:paraId="6954C3F0" w14:textId="0F31A0C1" w:rsidR="009F3353" w:rsidRDefault="00144804" w:rsidP="00AD7B67">
      <w:pPr>
        <w:pStyle w:val="NormalWeb"/>
        <w:shd w:val="clear" w:color="auto" w:fill="FFFFFF"/>
        <w:spacing w:before="120" w:beforeAutospacing="0" w:after="0" w:afterAutospacing="0" w:line="340" w:lineRule="exact"/>
        <w:ind w:firstLine="567"/>
        <w:jc w:val="both"/>
        <w:rPr>
          <w:b/>
          <w:spacing w:val="-2"/>
          <w:sz w:val="28"/>
          <w:szCs w:val="28"/>
          <w:lang w:val="en-US"/>
        </w:rPr>
      </w:pPr>
      <w:r>
        <w:rPr>
          <w:b/>
          <w:spacing w:val="-2"/>
          <w:sz w:val="28"/>
          <w:szCs w:val="28"/>
          <w:lang w:val="en-US"/>
        </w:rPr>
        <w:t>V</w:t>
      </w:r>
      <w:r w:rsidR="00C93EFF">
        <w:rPr>
          <w:b/>
          <w:spacing w:val="-2"/>
          <w:sz w:val="28"/>
          <w:szCs w:val="28"/>
          <w:lang w:val="en-US"/>
        </w:rPr>
        <w:t>I</w:t>
      </w:r>
      <w:r w:rsidR="009F3353" w:rsidRPr="009F3353">
        <w:rPr>
          <w:b/>
          <w:spacing w:val="-2"/>
          <w:sz w:val="28"/>
          <w:szCs w:val="28"/>
        </w:rPr>
        <w:t xml:space="preserve">. BỐ CỤC VÀ NỘI DUNG CƠ BẢN CỦA </w:t>
      </w:r>
      <w:r w:rsidR="00684B95">
        <w:rPr>
          <w:b/>
          <w:spacing w:val="-2"/>
          <w:sz w:val="28"/>
          <w:szCs w:val="28"/>
          <w:lang w:val="en-US"/>
        </w:rPr>
        <w:t>DỰ THẢO VĂN BẢN</w:t>
      </w:r>
    </w:p>
    <w:p w14:paraId="345830CC" w14:textId="2244D1E7" w:rsidR="00684B95" w:rsidRPr="00684B95" w:rsidRDefault="00AD7B67" w:rsidP="00AD7B67">
      <w:pPr>
        <w:pStyle w:val="NormalWeb"/>
        <w:shd w:val="clear" w:color="auto" w:fill="FFFFFF"/>
        <w:spacing w:before="120" w:beforeAutospacing="0" w:after="0" w:afterAutospacing="0" w:line="340" w:lineRule="exact"/>
        <w:ind w:firstLine="567"/>
        <w:jc w:val="both"/>
        <w:rPr>
          <w:b/>
          <w:sz w:val="28"/>
          <w:szCs w:val="28"/>
          <w:lang w:val="en-US"/>
        </w:rPr>
      </w:pPr>
      <w:r>
        <w:rPr>
          <w:b/>
          <w:spacing w:val="-2"/>
          <w:sz w:val="28"/>
          <w:szCs w:val="28"/>
          <w:lang w:val="en-US"/>
        </w:rPr>
        <w:t xml:space="preserve">1. </w:t>
      </w:r>
      <w:r w:rsidR="00684B95">
        <w:rPr>
          <w:b/>
          <w:spacing w:val="-2"/>
          <w:sz w:val="28"/>
          <w:szCs w:val="28"/>
          <w:lang w:val="en-US"/>
        </w:rPr>
        <w:t>Bố cục</w:t>
      </w:r>
      <w:r w:rsidR="00C93EFF">
        <w:rPr>
          <w:b/>
          <w:spacing w:val="-2"/>
          <w:sz w:val="28"/>
          <w:szCs w:val="28"/>
          <w:lang w:val="en-US"/>
        </w:rPr>
        <w:t xml:space="preserve"> của dự thảo văn </w:t>
      </w:r>
    </w:p>
    <w:p w14:paraId="73EDB968" w14:textId="1035658B" w:rsidR="009F3353" w:rsidRDefault="009F3353" w:rsidP="00AD7B67">
      <w:pPr>
        <w:suppressAutoHyphens/>
        <w:spacing w:before="120" w:line="340" w:lineRule="exact"/>
        <w:ind w:firstLine="567"/>
        <w:contextualSpacing/>
        <w:jc w:val="both"/>
      </w:pPr>
      <w:r w:rsidRPr="009F3353">
        <w:t xml:space="preserve">Dự thảo </w:t>
      </w:r>
      <w:r w:rsidR="0099575B">
        <w:t xml:space="preserve">Quyết định của Uỷ ban nhân dân tỉnh </w:t>
      </w:r>
      <w:r w:rsidRPr="009F3353">
        <w:t>gồm 0</w:t>
      </w:r>
      <w:r w:rsidR="00C93EFF">
        <w:t>2</w:t>
      </w:r>
      <w:r w:rsidRPr="009F3353">
        <w:t xml:space="preserve"> Điều:</w:t>
      </w:r>
    </w:p>
    <w:p w14:paraId="3886310E" w14:textId="115FC815" w:rsidR="00C93EFF" w:rsidRPr="00C93EFF" w:rsidRDefault="00CA01CD" w:rsidP="00C93EFF">
      <w:pPr>
        <w:widowControl w:val="0"/>
        <w:spacing w:before="120" w:after="120" w:line="380" w:lineRule="exact"/>
        <w:ind w:firstLine="567"/>
        <w:jc w:val="both"/>
        <w:rPr>
          <w:iCs/>
        </w:rPr>
      </w:pPr>
      <w:r w:rsidRPr="00C93EFF">
        <w:t>Điều 1</w:t>
      </w:r>
      <w:r w:rsidR="00C93EFF" w:rsidRPr="00C93EFF">
        <w:t>.</w:t>
      </w:r>
      <w:r w:rsidRPr="00C93EFF">
        <w:t xml:space="preserve"> </w:t>
      </w:r>
      <w:r w:rsidR="00C93EFF" w:rsidRPr="00C93EFF">
        <w:rPr>
          <w:color w:val="000000"/>
        </w:rPr>
        <w:t xml:space="preserve">Điều 1. </w:t>
      </w:r>
      <w:r w:rsidR="00C93EFF" w:rsidRPr="00C93EFF">
        <w:rPr>
          <w:iCs/>
        </w:rPr>
        <w:t>Sửa đổi, bổ sung một số điều của Quyết định số 64/2024/QĐ-UBND ngày 21 tháng 12 năm 2024 của Uỷ ban nhân dân tỉnh Thái Nguyên Quy định mức tỷ lệ phần trăm (%) để tính đơn giá thuê đất, mức tỷ lệ (%) thu đối với đất xây dựng công trình ngầm, mức tỷ lệ (%) thu đối với đất có mặt nước trên địa bàn tỉnh Thái Nguyên</w:t>
      </w:r>
    </w:p>
    <w:p w14:paraId="570AEBFC" w14:textId="3EE370D9" w:rsidR="00C93EFF" w:rsidRPr="00C93EFF" w:rsidRDefault="0099575B" w:rsidP="00C93EFF">
      <w:pPr>
        <w:pStyle w:val="05NidungVB"/>
        <w:spacing w:before="120" w:after="0" w:line="340" w:lineRule="exact"/>
      </w:pPr>
      <w:r w:rsidRPr="00C93EFF">
        <w:rPr>
          <w:color w:val="000000"/>
          <w:spacing w:val="-12"/>
        </w:rPr>
        <w:t xml:space="preserve">Điều </w:t>
      </w:r>
      <w:r w:rsidR="00CA01CD" w:rsidRPr="00C93EFF">
        <w:rPr>
          <w:color w:val="000000"/>
          <w:spacing w:val="-12"/>
        </w:rPr>
        <w:t>2</w:t>
      </w:r>
      <w:r w:rsidRPr="00C93EFF">
        <w:rPr>
          <w:color w:val="000000"/>
          <w:spacing w:val="-12"/>
        </w:rPr>
        <w:t>.</w:t>
      </w:r>
      <w:r w:rsidR="00C93EFF" w:rsidRPr="00C93EFF">
        <w:rPr>
          <w:iCs/>
          <w:color w:val="000000"/>
          <w:spacing w:val="-10"/>
          <w:lang w:val="vi-VN" w:eastAsia="vi-VN"/>
        </w:rPr>
        <w:t xml:space="preserve"> </w:t>
      </w:r>
      <w:r w:rsidR="00C93EFF" w:rsidRPr="00C93EFF">
        <w:rPr>
          <w:iCs/>
          <w:color w:val="000000"/>
          <w:spacing w:val="-10"/>
          <w:lang w:eastAsia="vi-VN"/>
        </w:rPr>
        <w:t>Điều khoản thi hành</w:t>
      </w:r>
      <w:r w:rsidR="00C93EFF" w:rsidRPr="00C93EFF">
        <w:t xml:space="preserve"> </w:t>
      </w:r>
    </w:p>
    <w:p w14:paraId="4F8CC6BF" w14:textId="59B58DD3" w:rsidR="00684B95" w:rsidRPr="00AD7B67" w:rsidRDefault="00AD7B67" w:rsidP="00AD7B67">
      <w:pPr>
        <w:spacing w:before="120" w:line="340" w:lineRule="exact"/>
        <w:ind w:firstLine="567"/>
        <w:jc w:val="both"/>
        <w:rPr>
          <w:b/>
          <w:bCs/>
          <w:color w:val="000000"/>
        </w:rPr>
      </w:pPr>
      <w:r>
        <w:rPr>
          <w:b/>
          <w:bCs/>
          <w:color w:val="000000"/>
        </w:rPr>
        <w:t xml:space="preserve">2. </w:t>
      </w:r>
      <w:r w:rsidR="00684B95" w:rsidRPr="00AD7B67">
        <w:rPr>
          <w:b/>
          <w:bCs/>
          <w:color w:val="000000"/>
        </w:rPr>
        <w:t xml:space="preserve">Nội dung cơ bản </w:t>
      </w:r>
    </w:p>
    <w:p w14:paraId="14DAED73" w14:textId="41550262" w:rsidR="00C93EFF" w:rsidRDefault="00C93EFF" w:rsidP="00C93EFF">
      <w:pPr>
        <w:widowControl w:val="0"/>
        <w:spacing w:before="120" w:after="120" w:line="380" w:lineRule="exact"/>
        <w:ind w:firstLine="567"/>
        <w:jc w:val="both"/>
        <w:rPr>
          <w:iCs/>
        </w:rPr>
      </w:pPr>
      <w:r>
        <w:t>Quy định</w:t>
      </w:r>
      <w:r w:rsidRPr="009F3353">
        <w:t xml:space="preserve"> </w:t>
      </w:r>
      <w:r>
        <w:rPr>
          <w:iCs/>
        </w:rPr>
        <w:t>s</w:t>
      </w:r>
      <w:r w:rsidRPr="00C93EFF">
        <w:rPr>
          <w:iCs/>
        </w:rPr>
        <w:t>ửa đổi, bổ sung một số điều của Quyết định số 64/2024/QĐ-UBND ngày 21 tháng 12 năm 2024 của Uỷ ban nhân dân tỉnh Thái Nguyên Quy định mức tỷ lệ phần trăm (%) để tính đơn giá thuê đất, mức tỷ lệ (%) thu đối với đất xây dựng công trình ngầm, mức tỷ lệ (%) thu đối với đất có mặt nước trên địa bàn tỉnh Thái Nguyên</w:t>
      </w:r>
      <w:r>
        <w:rPr>
          <w:iCs/>
        </w:rPr>
        <w:t>.</w:t>
      </w:r>
    </w:p>
    <w:p w14:paraId="5BA75305" w14:textId="50B4DFD1" w:rsidR="00BE1D99" w:rsidRDefault="00BE1D99" w:rsidP="00C93EFF">
      <w:pPr>
        <w:widowControl w:val="0"/>
        <w:spacing w:before="120" w:after="120" w:line="380" w:lineRule="exact"/>
        <w:ind w:firstLine="567"/>
        <w:jc w:val="both"/>
        <w:rPr>
          <w:b/>
          <w:bCs/>
          <w:iCs/>
        </w:rPr>
      </w:pPr>
      <w:r w:rsidRPr="00BE1D99">
        <w:rPr>
          <w:b/>
          <w:bCs/>
          <w:iCs/>
        </w:rPr>
        <w:t>V. DỰ KIẾN NGUỒN LỰC, ĐIỀU KIỆN BẢO ĐẢM CHO VIỆC THI HÀNH VĂN BẢN VÀ THỜI GIAN TRÌNH THÔNG QUA</w:t>
      </w:r>
    </w:p>
    <w:p w14:paraId="4F334A2B" w14:textId="77777777" w:rsidR="002308CD" w:rsidRPr="00B357C3" w:rsidRDefault="002308CD" w:rsidP="002308CD">
      <w:pPr>
        <w:shd w:val="clear" w:color="auto" w:fill="FFFFFF"/>
        <w:tabs>
          <w:tab w:val="left" w:pos="567"/>
        </w:tabs>
        <w:spacing w:before="120" w:line="360" w:lineRule="exact"/>
        <w:ind w:firstLine="567"/>
        <w:jc w:val="both"/>
        <w:rPr>
          <w:spacing w:val="-6"/>
          <w:lang w:eastAsia="vi-VN"/>
        </w:rPr>
      </w:pPr>
      <w:r w:rsidRPr="00B357C3">
        <w:rPr>
          <w:spacing w:val="-6"/>
          <w:lang w:eastAsia="vi-VN"/>
        </w:rPr>
        <w:t>1. Dự kiến nguồn lực:</w:t>
      </w:r>
      <w:r w:rsidRPr="00B357C3">
        <w:rPr>
          <w:b/>
          <w:bCs/>
          <w:spacing w:val="-6"/>
          <w:lang w:eastAsia="vi-VN"/>
        </w:rPr>
        <w:t xml:space="preserve"> </w:t>
      </w:r>
      <w:r w:rsidRPr="00B357C3">
        <w:rPr>
          <w:spacing w:val="-6"/>
          <w:lang w:eastAsia="vi-VN"/>
        </w:rPr>
        <w:t>nguồn ngân sách nhà nước và các nguồn hợp pháp khác.</w:t>
      </w:r>
    </w:p>
    <w:p w14:paraId="7DB141B0" w14:textId="0A6AC151" w:rsidR="002308CD" w:rsidRPr="00B357C3" w:rsidRDefault="002308CD" w:rsidP="002308CD">
      <w:pPr>
        <w:shd w:val="clear" w:color="auto" w:fill="FFFFFF"/>
        <w:tabs>
          <w:tab w:val="left" w:pos="567"/>
        </w:tabs>
        <w:spacing w:before="120" w:line="360" w:lineRule="exact"/>
        <w:ind w:firstLine="567"/>
        <w:jc w:val="both"/>
        <w:rPr>
          <w:spacing w:val="-6"/>
          <w:lang w:eastAsia="vi-VN"/>
        </w:rPr>
      </w:pPr>
      <w:r w:rsidRPr="00B357C3">
        <w:rPr>
          <w:spacing w:val="-6"/>
          <w:lang w:eastAsia="vi-VN"/>
        </w:rPr>
        <w:t xml:space="preserve">2. Thời gian trình thông qua: </w:t>
      </w:r>
      <w:r w:rsidRPr="00B357C3">
        <w:rPr>
          <w:bCs/>
        </w:rPr>
        <w:t xml:space="preserve">thông qua </w:t>
      </w:r>
      <w:r>
        <w:rPr>
          <w:bCs/>
        </w:rPr>
        <w:t>tháng 7/2025.</w:t>
      </w:r>
    </w:p>
    <w:p w14:paraId="33A8D19B" w14:textId="57E28FED" w:rsidR="00036D8B" w:rsidRDefault="00036D8B" w:rsidP="00AD7B67">
      <w:pPr>
        <w:pStyle w:val="05NidungVB"/>
        <w:spacing w:before="120" w:after="0" w:line="340" w:lineRule="exact"/>
      </w:pPr>
      <w:r w:rsidRPr="003F03FA">
        <w:rPr>
          <w:b/>
          <w:bCs/>
        </w:rPr>
        <w:t>V</w:t>
      </w:r>
      <w:r w:rsidR="000A42A4">
        <w:rPr>
          <w:b/>
          <w:bCs/>
        </w:rPr>
        <w:t>I</w:t>
      </w:r>
      <w:r w:rsidRPr="003F03FA">
        <w:rPr>
          <w:b/>
          <w:bCs/>
        </w:rPr>
        <w:t>. NHỮNG VẤN ĐỀ XIN Ý KIẾN (NẾU CÓ):</w:t>
      </w:r>
      <w:r>
        <w:t xml:space="preserve"> không</w:t>
      </w:r>
    </w:p>
    <w:p w14:paraId="1661378E" w14:textId="5FCF4C42" w:rsidR="0099575B" w:rsidRDefault="0099575B" w:rsidP="00AD7B67">
      <w:pPr>
        <w:pStyle w:val="BodyText2"/>
        <w:spacing w:before="120" w:after="0" w:line="340" w:lineRule="exact"/>
        <w:ind w:firstLine="567"/>
        <w:jc w:val="both"/>
        <w:rPr>
          <w:i/>
          <w:iCs/>
        </w:rPr>
      </w:pPr>
      <w:r w:rsidRPr="003B1A90">
        <w:rPr>
          <w:i/>
          <w:iCs/>
        </w:rPr>
        <w:t>Xin gửi kèm theo:</w:t>
      </w:r>
    </w:p>
    <w:p w14:paraId="2A9CEF52" w14:textId="77777777" w:rsidR="0099575B" w:rsidRDefault="0099575B" w:rsidP="00AD7B67">
      <w:pPr>
        <w:pStyle w:val="BodyText2"/>
        <w:spacing w:before="120" w:after="0" w:line="340" w:lineRule="exact"/>
        <w:ind w:firstLine="567"/>
        <w:jc w:val="both"/>
        <w:rPr>
          <w:i/>
          <w:iCs/>
        </w:rPr>
      </w:pPr>
      <w:r>
        <w:rPr>
          <w:i/>
          <w:iCs/>
        </w:rPr>
        <w:t>1. Dự thảo Quyết định;</w:t>
      </w:r>
    </w:p>
    <w:p w14:paraId="6195E11F" w14:textId="7DDC7EBF" w:rsidR="0099575B" w:rsidRDefault="0099575B" w:rsidP="00AD7B67">
      <w:pPr>
        <w:spacing w:before="120" w:line="340" w:lineRule="exact"/>
        <w:ind w:firstLine="567"/>
        <w:jc w:val="both"/>
        <w:rPr>
          <w:i/>
          <w:lang w:val="pt-BR"/>
        </w:rPr>
      </w:pPr>
      <w:r>
        <w:rPr>
          <w:i/>
          <w:lang w:val="pt-BR"/>
        </w:rPr>
        <w:t xml:space="preserve">2. </w:t>
      </w:r>
      <w:r w:rsidRPr="003E3FCB">
        <w:rPr>
          <w:i/>
          <w:lang w:val="pt-BR"/>
        </w:rPr>
        <w:t>Báo cáo thẩm định</w:t>
      </w:r>
      <w:r w:rsidR="00C93EFF">
        <w:rPr>
          <w:i/>
          <w:lang w:val="pt-BR"/>
        </w:rPr>
        <w:t xml:space="preserve"> của Sở Tư pháp</w:t>
      </w:r>
      <w:r w:rsidRPr="003E3FCB">
        <w:rPr>
          <w:i/>
          <w:lang w:val="pt-BR"/>
        </w:rPr>
        <w:t>; báo cáo giải trình, tiếp thu ý kiến thẩm định;</w:t>
      </w:r>
    </w:p>
    <w:p w14:paraId="4DEA5547" w14:textId="77777777" w:rsidR="0099575B" w:rsidRDefault="0099575B" w:rsidP="00AD7B67">
      <w:pPr>
        <w:spacing w:before="120" w:line="340" w:lineRule="exact"/>
        <w:ind w:firstLine="567"/>
        <w:jc w:val="both"/>
        <w:rPr>
          <w:i/>
          <w:lang w:val="pt-BR"/>
        </w:rPr>
      </w:pPr>
      <w:r>
        <w:rPr>
          <w:i/>
          <w:lang w:val="pt-BR"/>
        </w:rPr>
        <w:t xml:space="preserve">3. </w:t>
      </w:r>
      <w:r w:rsidRPr="003E3FCB">
        <w:rPr>
          <w:i/>
          <w:lang w:val="pt-BR"/>
        </w:rPr>
        <w:t>Bản tổng hợp, giải trình, tiếp thu</w:t>
      </w:r>
      <w:r>
        <w:rPr>
          <w:i/>
          <w:lang w:val="pt-BR"/>
        </w:rPr>
        <w:t xml:space="preserve"> góp ý của các cơ quan, tổ chức.</w:t>
      </w:r>
    </w:p>
    <w:p w14:paraId="704FD275" w14:textId="693190B5" w:rsidR="006320C1" w:rsidRDefault="006320C1" w:rsidP="00AD7B67">
      <w:pPr>
        <w:spacing w:before="120" w:line="340" w:lineRule="exact"/>
        <w:ind w:firstLine="567"/>
        <w:jc w:val="both"/>
        <w:rPr>
          <w:iCs/>
        </w:rPr>
      </w:pPr>
      <w:r>
        <w:rPr>
          <w:iCs/>
        </w:rPr>
        <w:t>N</w:t>
      </w:r>
      <w:r w:rsidRPr="006320C1">
        <w:rPr>
          <w:iCs/>
        </w:rPr>
        <w:t xml:space="preserve">ội dung tham mưu đầy đủ cơ sở pháp lý theo đúng quy định pháp luật; đảm bảo đúng trình tự, thủ tục, đúng thẩm quyền và đủ điều kiện để ban hành theo quy </w:t>
      </w:r>
      <w:r w:rsidRPr="006320C1">
        <w:rPr>
          <w:iCs/>
        </w:rPr>
        <w:lastRenderedPageBreak/>
        <w:t>định của pháp luật và quy chế làm việc; Thủ trưởng cơ quan trình chịu trách nhiệm trước UBND tỉnh</w:t>
      </w:r>
      <w:r w:rsidR="00F05837">
        <w:rPr>
          <w:iCs/>
        </w:rPr>
        <w:t xml:space="preserve">, </w:t>
      </w:r>
      <w:r w:rsidRPr="006320C1">
        <w:rPr>
          <w:iCs/>
        </w:rPr>
        <w:t>Chủ tịch UBND tỉnh và trước pháp luật về nội dung tham mưu.</w:t>
      </w:r>
    </w:p>
    <w:p w14:paraId="2C11AE29" w14:textId="724E283B" w:rsidR="006320C1" w:rsidRPr="00C93EFF" w:rsidRDefault="006320C1" w:rsidP="00C93EFF">
      <w:pPr>
        <w:widowControl w:val="0"/>
        <w:spacing w:before="120" w:after="120" w:line="380" w:lineRule="exact"/>
        <w:ind w:firstLine="567"/>
        <w:jc w:val="both"/>
        <w:rPr>
          <w:iCs/>
        </w:rPr>
      </w:pPr>
      <w:r w:rsidRPr="009F3353">
        <w:rPr>
          <w:lang w:val="vi-VN"/>
        </w:rPr>
        <w:t xml:space="preserve">Trên đây là Tờ trình về </w:t>
      </w:r>
      <w:r>
        <w:t xml:space="preserve">Dự thảo </w:t>
      </w:r>
      <w:bookmarkStart w:id="2" w:name="_Hlk182212867"/>
      <w:r>
        <w:t>Q</w:t>
      </w:r>
      <w:r w:rsidRPr="009F3353">
        <w:rPr>
          <w:lang w:val="vi-VN"/>
        </w:rPr>
        <w:t xml:space="preserve">uyết </w:t>
      </w:r>
      <w:r>
        <w:t xml:space="preserve">định của Uỷ ban nhân dân tỉnh </w:t>
      </w:r>
      <w:bookmarkEnd w:id="2"/>
      <w:r w:rsidR="00C93EFF">
        <w:rPr>
          <w:iCs/>
        </w:rPr>
        <w:t>s</w:t>
      </w:r>
      <w:r w:rsidR="00C93EFF" w:rsidRPr="00C93EFF">
        <w:rPr>
          <w:iCs/>
        </w:rPr>
        <w:t>ửa đổi, bổ sung một số điều của Quyết định số 64/2024/QĐ-UBND ngày 21 tháng 12 năm 2024 của Uỷ ban nhân dân tỉnh Thái Nguyên Quy định mức tỷ lệ phần trăm (%) để tính đơn giá thuê đất, mức tỷ lệ (%) thu đối với đất xây dựng công trình ngầm, mức tỷ lệ (%) thu đối với đất có mặt nước trên địa bàn tỉnh Thái Nguyên</w:t>
      </w:r>
      <w:r w:rsidR="00C93EFF">
        <w:rPr>
          <w:iCs/>
        </w:rPr>
        <w:t>,</w:t>
      </w:r>
      <w:r w:rsidRPr="009F3353">
        <w:t xml:space="preserve"> Sở Tài chính</w:t>
      </w:r>
      <w:r w:rsidRPr="009F3353">
        <w:rPr>
          <w:lang w:val="vi-VN"/>
        </w:rPr>
        <w:t xml:space="preserve"> </w:t>
      </w:r>
      <w:r w:rsidRPr="009F3353">
        <w:t>kính trình UBND</w:t>
      </w:r>
      <w:r w:rsidRPr="009F3353">
        <w:rPr>
          <w:lang w:val="vi-VN"/>
        </w:rPr>
        <w:t xml:space="preserve"> tỉnh </w:t>
      </w:r>
      <w:r>
        <w:t>xem xét, quyết định./.</w:t>
      </w:r>
    </w:p>
    <w:p w14:paraId="5A3F627B" w14:textId="77777777" w:rsidR="009F3353" w:rsidRPr="009F3353" w:rsidRDefault="009F3353" w:rsidP="009F3353">
      <w:pPr>
        <w:spacing w:line="300" w:lineRule="auto"/>
        <w:ind w:firstLine="840"/>
        <w:jc w:val="both"/>
        <w:rPr>
          <w:sz w:val="10"/>
          <w:lang w:val="it-IT"/>
        </w:rPr>
      </w:pPr>
    </w:p>
    <w:tbl>
      <w:tblPr>
        <w:tblW w:w="18710" w:type="dxa"/>
        <w:tblLook w:val="04A0" w:firstRow="1" w:lastRow="0" w:firstColumn="1" w:lastColumn="0" w:noHBand="0" w:noVBand="1"/>
      </w:tblPr>
      <w:tblGrid>
        <w:gridCol w:w="4536"/>
        <w:gridCol w:w="5103"/>
        <w:gridCol w:w="5103"/>
        <w:gridCol w:w="3968"/>
      </w:tblGrid>
      <w:tr w:rsidR="009F3353" w:rsidRPr="009F3353" w14:paraId="08A47C18" w14:textId="77777777" w:rsidTr="00D80222">
        <w:tc>
          <w:tcPr>
            <w:tcW w:w="4536" w:type="dxa"/>
          </w:tcPr>
          <w:p w14:paraId="4CB1F002" w14:textId="77777777" w:rsidR="009F3353" w:rsidRPr="009F3353" w:rsidRDefault="009F3353" w:rsidP="00D80222">
            <w:pPr>
              <w:jc w:val="both"/>
              <w:rPr>
                <w:i/>
              </w:rPr>
            </w:pPr>
            <w:r w:rsidRPr="009F3353">
              <w:rPr>
                <w:b/>
                <w:i/>
                <w:sz w:val="24"/>
                <w:szCs w:val="24"/>
              </w:rPr>
              <w:t>N</w:t>
            </w:r>
            <w:r w:rsidRPr="009F3353">
              <w:rPr>
                <w:rFonts w:hint="eastAsia"/>
                <w:b/>
                <w:i/>
                <w:sz w:val="24"/>
                <w:szCs w:val="24"/>
              </w:rPr>
              <w:t>ơ</w:t>
            </w:r>
            <w:r w:rsidRPr="009F3353">
              <w:rPr>
                <w:b/>
                <w:i/>
                <w:sz w:val="24"/>
                <w:szCs w:val="24"/>
              </w:rPr>
              <w:t>i nhận:</w:t>
            </w:r>
            <w:r w:rsidRPr="009F3353">
              <w:rPr>
                <w:i/>
              </w:rPr>
              <w:t xml:space="preserve">  </w:t>
            </w:r>
          </w:p>
          <w:p w14:paraId="61516912" w14:textId="114CC487" w:rsidR="009F3353" w:rsidRPr="009F3353" w:rsidRDefault="009F3353" w:rsidP="00D80222">
            <w:pPr>
              <w:jc w:val="both"/>
              <w:rPr>
                <w:sz w:val="22"/>
              </w:rPr>
            </w:pPr>
            <w:r w:rsidRPr="009F3353">
              <w:rPr>
                <w:sz w:val="22"/>
              </w:rPr>
              <w:t>- Nh</w:t>
            </w:r>
            <w:r w:rsidRPr="009F3353">
              <w:rPr>
                <w:rFonts w:hint="eastAsia"/>
                <w:sz w:val="22"/>
              </w:rPr>
              <w:t>ư</w:t>
            </w:r>
            <w:r w:rsidRPr="009F3353">
              <w:rPr>
                <w:sz w:val="22"/>
              </w:rPr>
              <w:t xml:space="preserve"> </w:t>
            </w:r>
            <w:r w:rsidR="00C93EFF">
              <w:rPr>
                <w:sz w:val="22"/>
              </w:rPr>
              <w:t>trên</w:t>
            </w:r>
            <w:r w:rsidRPr="009F3353">
              <w:rPr>
                <w:sz w:val="22"/>
              </w:rPr>
              <w:t>;</w:t>
            </w:r>
          </w:p>
          <w:p w14:paraId="0B38CA68" w14:textId="77777777" w:rsidR="009F3353" w:rsidRPr="009F3353" w:rsidRDefault="009F3353" w:rsidP="00D80222">
            <w:pPr>
              <w:jc w:val="both"/>
              <w:rPr>
                <w:sz w:val="22"/>
              </w:rPr>
            </w:pPr>
            <w:r w:rsidRPr="009F3353">
              <w:rPr>
                <w:sz w:val="22"/>
              </w:rPr>
              <w:t>- Sở Tư pháp;</w:t>
            </w:r>
          </w:p>
          <w:p w14:paraId="1CB9BCB8" w14:textId="77777777" w:rsidR="009F3353" w:rsidRPr="009F3353" w:rsidRDefault="009F3353" w:rsidP="00D80222">
            <w:pPr>
              <w:jc w:val="both"/>
              <w:rPr>
                <w:sz w:val="22"/>
              </w:rPr>
            </w:pPr>
            <w:r w:rsidRPr="009F3353">
              <w:rPr>
                <w:sz w:val="22"/>
              </w:rPr>
              <w:t>- Ban GĐ Sở;</w:t>
            </w:r>
          </w:p>
          <w:p w14:paraId="1C899685" w14:textId="77777777" w:rsidR="009F3353" w:rsidRPr="009F3353" w:rsidRDefault="009F3353" w:rsidP="00D80222">
            <w:pPr>
              <w:rPr>
                <w:sz w:val="22"/>
              </w:rPr>
            </w:pPr>
            <w:r w:rsidRPr="009F3353">
              <w:rPr>
                <w:sz w:val="22"/>
              </w:rPr>
              <w:t>- L</w:t>
            </w:r>
            <w:r w:rsidRPr="009F3353">
              <w:rPr>
                <w:rFonts w:hint="eastAsia"/>
                <w:sz w:val="22"/>
              </w:rPr>
              <w:t>ư</w:t>
            </w:r>
            <w:r w:rsidRPr="009F3353">
              <w:rPr>
                <w:sz w:val="22"/>
              </w:rPr>
              <w:t>u: VT, QLGDN.</w:t>
            </w:r>
          </w:p>
          <w:p w14:paraId="65601E37" w14:textId="0C5CF42B" w:rsidR="009F3353" w:rsidRPr="009F3353" w:rsidRDefault="009F3353" w:rsidP="00D80222">
            <w:pPr>
              <w:rPr>
                <w:sz w:val="22"/>
              </w:rPr>
            </w:pPr>
            <w:r w:rsidRPr="009F3353">
              <w:rPr>
                <w:sz w:val="22"/>
              </w:rPr>
              <w:t xml:space="preserve">  </w:t>
            </w:r>
            <w:r w:rsidR="00A87725">
              <w:rPr>
                <w:sz w:val="22"/>
              </w:rPr>
              <w:t xml:space="preserve">  </w:t>
            </w:r>
            <w:r w:rsidRPr="009F3353">
              <w:rPr>
                <w:sz w:val="22"/>
              </w:rPr>
              <w:t>(Liendt</w:t>
            </w:r>
            <w:r w:rsidR="00A87725">
              <w:rPr>
                <w:sz w:val="22"/>
              </w:rPr>
              <w:t>)</w:t>
            </w:r>
          </w:p>
          <w:p w14:paraId="33742323" w14:textId="77777777" w:rsidR="009F3353" w:rsidRPr="009F3353" w:rsidRDefault="009F3353" w:rsidP="00D80222">
            <w:pPr>
              <w:jc w:val="both"/>
              <w:rPr>
                <w:sz w:val="24"/>
                <w:szCs w:val="24"/>
              </w:rPr>
            </w:pPr>
          </w:p>
          <w:p w14:paraId="0974B28F" w14:textId="77777777" w:rsidR="009F3353" w:rsidRPr="009F3353" w:rsidRDefault="009F3353" w:rsidP="00D80222">
            <w:pPr>
              <w:rPr>
                <w:sz w:val="22"/>
                <w:szCs w:val="22"/>
              </w:rPr>
            </w:pPr>
          </w:p>
        </w:tc>
        <w:tc>
          <w:tcPr>
            <w:tcW w:w="5103" w:type="dxa"/>
          </w:tcPr>
          <w:p w14:paraId="5CF2DE4E" w14:textId="13CDA78D" w:rsidR="009F3353" w:rsidRPr="009F3353" w:rsidRDefault="009F3353" w:rsidP="00D80222">
            <w:pPr>
              <w:jc w:val="center"/>
              <w:outlineLvl w:val="2"/>
              <w:rPr>
                <w:b/>
                <w:bCs/>
                <w:lang w:val="nl-NL"/>
              </w:rPr>
            </w:pPr>
            <w:r w:rsidRPr="009F3353">
              <w:rPr>
                <w:b/>
                <w:bCs/>
                <w:lang w:val="nl-NL"/>
              </w:rPr>
              <w:t xml:space="preserve">GIÁM </w:t>
            </w:r>
            <w:r w:rsidRPr="009F3353">
              <w:rPr>
                <w:rFonts w:hint="eastAsia"/>
                <w:b/>
                <w:bCs/>
                <w:lang w:val="nl-NL"/>
              </w:rPr>
              <w:t>Đ</w:t>
            </w:r>
            <w:r w:rsidRPr="009F3353">
              <w:rPr>
                <w:b/>
                <w:bCs/>
                <w:lang w:val="nl-NL"/>
              </w:rPr>
              <w:t>ỐC</w:t>
            </w:r>
          </w:p>
          <w:p w14:paraId="0548FAE8" w14:textId="77777777" w:rsidR="009F3353" w:rsidRPr="009F3353" w:rsidRDefault="009F3353" w:rsidP="00D80222">
            <w:pPr>
              <w:jc w:val="center"/>
              <w:outlineLvl w:val="2"/>
              <w:rPr>
                <w:b/>
                <w:bCs/>
                <w:sz w:val="12"/>
                <w:lang w:val="nl-NL"/>
              </w:rPr>
            </w:pPr>
          </w:p>
          <w:p w14:paraId="5BCE4FE6" w14:textId="77777777" w:rsidR="009F3353" w:rsidRPr="009F3353" w:rsidRDefault="009F3353" w:rsidP="00D80222">
            <w:pPr>
              <w:jc w:val="center"/>
              <w:outlineLvl w:val="2"/>
              <w:rPr>
                <w:b/>
                <w:bCs/>
                <w:sz w:val="24"/>
                <w:lang w:val="nl-NL"/>
              </w:rPr>
            </w:pPr>
          </w:p>
          <w:p w14:paraId="14DC1E8C" w14:textId="77777777" w:rsidR="009F3353" w:rsidRPr="009F3353" w:rsidRDefault="009F3353" w:rsidP="00D80222">
            <w:pPr>
              <w:jc w:val="center"/>
              <w:outlineLvl w:val="2"/>
              <w:rPr>
                <w:b/>
                <w:bCs/>
                <w:sz w:val="24"/>
                <w:lang w:val="nl-NL"/>
              </w:rPr>
            </w:pPr>
          </w:p>
          <w:p w14:paraId="5B8C9B3A" w14:textId="77777777" w:rsidR="009F3353" w:rsidRDefault="009F3353" w:rsidP="00D80222">
            <w:pPr>
              <w:jc w:val="center"/>
              <w:outlineLvl w:val="2"/>
              <w:rPr>
                <w:b/>
                <w:bCs/>
                <w:sz w:val="24"/>
                <w:lang w:val="nl-NL"/>
              </w:rPr>
            </w:pPr>
          </w:p>
          <w:p w14:paraId="2463BB70" w14:textId="77777777" w:rsidR="004771A6" w:rsidRPr="009F3353" w:rsidRDefault="004771A6" w:rsidP="00D80222">
            <w:pPr>
              <w:jc w:val="center"/>
              <w:outlineLvl w:val="2"/>
              <w:rPr>
                <w:b/>
                <w:bCs/>
                <w:sz w:val="24"/>
                <w:lang w:val="nl-NL"/>
              </w:rPr>
            </w:pPr>
          </w:p>
          <w:p w14:paraId="3C2BED04" w14:textId="77777777" w:rsidR="009F3353" w:rsidRPr="009F3353" w:rsidRDefault="009F3353" w:rsidP="00D80222">
            <w:pPr>
              <w:jc w:val="center"/>
              <w:outlineLvl w:val="2"/>
              <w:rPr>
                <w:b/>
                <w:bCs/>
                <w:sz w:val="24"/>
                <w:lang w:val="nl-NL"/>
              </w:rPr>
            </w:pPr>
          </w:p>
          <w:p w14:paraId="7C309056" w14:textId="49DFFDA8" w:rsidR="009F3353" w:rsidRPr="009F3353" w:rsidRDefault="00C93EFF" w:rsidP="00D80222">
            <w:pPr>
              <w:jc w:val="center"/>
              <w:rPr>
                <w:sz w:val="22"/>
                <w:szCs w:val="22"/>
              </w:rPr>
            </w:pPr>
            <w:r>
              <w:rPr>
                <w:b/>
                <w:bCs/>
                <w:lang w:val="nl-NL"/>
              </w:rPr>
              <w:t>Lê Kim Phúc</w:t>
            </w:r>
          </w:p>
        </w:tc>
        <w:tc>
          <w:tcPr>
            <w:tcW w:w="5103" w:type="dxa"/>
          </w:tcPr>
          <w:p w14:paraId="6E1E23EF" w14:textId="77777777" w:rsidR="009F3353" w:rsidRPr="009F3353" w:rsidRDefault="009F3353" w:rsidP="00D80222">
            <w:pPr>
              <w:rPr>
                <w:sz w:val="22"/>
                <w:szCs w:val="22"/>
              </w:rPr>
            </w:pPr>
          </w:p>
        </w:tc>
        <w:tc>
          <w:tcPr>
            <w:tcW w:w="3968" w:type="dxa"/>
          </w:tcPr>
          <w:p w14:paraId="155568DC" w14:textId="77777777" w:rsidR="009F3353" w:rsidRPr="009F3353" w:rsidRDefault="009F3353" w:rsidP="00D80222">
            <w:pPr>
              <w:tabs>
                <w:tab w:val="left" w:pos="3836"/>
              </w:tabs>
              <w:jc w:val="center"/>
              <w:rPr>
                <w:b/>
              </w:rPr>
            </w:pPr>
          </w:p>
        </w:tc>
      </w:tr>
    </w:tbl>
    <w:p w14:paraId="162107BF" w14:textId="77777777" w:rsidR="00E81CFF" w:rsidRPr="009F3353" w:rsidRDefault="00E81CFF" w:rsidP="002F59A4">
      <w:pPr>
        <w:jc w:val="both"/>
        <w:rPr>
          <w:sz w:val="26"/>
          <w:szCs w:val="26"/>
          <w:lang w:val="pt-BR"/>
        </w:rPr>
        <w:sectPr w:rsidR="00E81CFF" w:rsidRPr="009F3353" w:rsidSect="00077114">
          <w:headerReference w:type="default" r:id="rId8"/>
          <w:footerReference w:type="even" r:id="rId9"/>
          <w:pgSz w:w="11906" w:h="16838" w:code="9"/>
          <w:pgMar w:top="1134" w:right="1134" w:bottom="1134" w:left="1701" w:header="284" w:footer="709" w:gutter="0"/>
          <w:cols w:space="708"/>
          <w:titlePg/>
          <w:docGrid w:linePitch="381"/>
        </w:sectPr>
      </w:pPr>
    </w:p>
    <w:p w14:paraId="0C32EF66" w14:textId="77777777" w:rsidR="007401ED" w:rsidRPr="009F3353" w:rsidRDefault="007401ED" w:rsidP="00664A73">
      <w:pPr>
        <w:jc w:val="center"/>
        <w:rPr>
          <w:sz w:val="26"/>
          <w:szCs w:val="26"/>
          <w:lang w:val="pt-BR"/>
        </w:rPr>
      </w:pPr>
    </w:p>
    <w:sectPr w:rsidR="007401ED" w:rsidRPr="009F3353" w:rsidSect="00620446">
      <w:pgSz w:w="11906" w:h="16838"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186C0" w14:textId="77777777" w:rsidR="00BC3B3B" w:rsidRDefault="00BC3B3B">
      <w:r>
        <w:separator/>
      </w:r>
    </w:p>
  </w:endnote>
  <w:endnote w:type="continuationSeparator" w:id="0">
    <w:p w14:paraId="2FE48EC3" w14:textId="77777777" w:rsidR="00BC3B3B" w:rsidRDefault="00BC3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5BDC" w14:textId="77777777" w:rsidR="004E4025" w:rsidRDefault="006416A2" w:rsidP="00D70109">
    <w:pPr>
      <w:pStyle w:val="Footer"/>
      <w:framePr w:wrap="around" w:vAnchor="text" w:hAnchor="margin" w:xAlign="center" w:y="1"/>
      <w:rPr>
        <w:rStyle w:val="PageNumber"/>
      </w:rPr>
    </w:pPr>
    <w:r>
      <w:rPr>
        <w:rStyle w:val="PageNumber"/>
      </w:rPr>
      <w:fldChar w:fldCharType="begin"/>
    </w:r>
    <w:r w:rsidR="004E4025">
      <w:rPr>
        <w:rStyle w:val="PageNumber"/>
      </w:rPr>
      <w:instrText xml:space="preserve">PAGE  </w:instrText>
    </w:r>
    <w:r>
      <w:rPr>
        <w:rStyle w:val="PageNumber"/>
      </w:rPr>
      <w:fldChar w:fldCharType="end"/>
    </w:r>
  </w:p>
  <w:p w14:paraId="3A93FAC3" w14:textId="77777777" w:rsidR="004E4025" w:rsidRDefault="004E4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DBFFB" w14:textId="77777777" w:rsidR="00BC3B3B" w:rsidRDefault="00BC3B3B">
      <w:r>
        <w:separator/>
      </w:r>
    </w:p>
  </w:footnote>
  <w:footnote w:type="continuationSeparator" w:id="0">
    <w:p w14:paraId="6CF07FFB" w14:textId="77777777" w:rsidR="00BC3B3B" w:rsidRDefault="00BC3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644686"/>
      <w:docPartObj>
        <w:docPartGallery w:val="Page Numbers (Top of Page)"/>
        <w:docPartUnique/>
      </w:docPartObj>
    </w:sdtPr>
    <w:sdtEndPr>
      <w:rPr>
        <w:noProof/>
        <w:sz w:val="26"/>
        <w:szCs w:val="26"/>
      </w:rPr>
    </w:sdtEndPr>
    <w:sdtContent>
      <w:p w14:paraId="405AB467" w14:textId="77777777" w:rsidR="007318D9" w:rsidRDefault="007318D9">
        <w:pPr>
          <w:pStyle w:val="Header"/>
          <w:jc w:val="center"/>
        </w:pPr>
      </w:p>
      <w:p w14:paraId="72C7A6A9" w14:textId="58F8A583" w:rsidR="004E4025" w:rsidRPr="00620446" w:rsidRDefault="006416A2">
        <w:pPr>
          <w:pStyle w:val="Header"/>
          <w:jc w:val="center"/>
          <w:rPr>
            <w:sz w:val="26"/>
            <w:szCs w:val="26"/>
          </w:rPr>
        </w:pPr>
        <w:r w:rsidRPr="00620446">
          <w:rPr>
            <w:sz w:val="26"/>
            <w:szCs w:val="26"/>
          </w:rPr>
          <w:fldChar w:fldCharType="begin"/>
        </w:r>
        <w:r w:rsidR="004E4025" w:rsidRPr="00620446">
          <w:rPr>
            <w:sz w:val="26"/>
            <w:szCs w:val="26"/>
          </w:rPr>
          <w:instrText xml:space="preserve"> PAGE   \* MERGEFORMAT </w:instrText>
        </w:r>
        <w:r w:rsidRPr="00620446">
          <w:rPr>
            <w:sz w:val="26"/>
            <w:szCs w:val="26"/>
          </w:rPr>
          <w:fldChar w:fldCharType="separate"/>
        </w:r>
        <w:r w:rsidR="001666FD">
          <w:rPr>
            <w:noProof/>
            <w:sz w:val="26"/>
            <w:szCs w:val="26"/>
          </w:rPr>
          <w:t>3</w:t>
        </w:r>
        <w:r w:rsidRPr="00620446">
          <w:rPr>
            <w:noProof/>
            <w:sz w:val="26"/>
            <w:szCs w:val="26"/>
          </w:rPr>
          <w:fldChar w:fldCharType="end"/>
        </w:r>
      </w:p>
    </w:sdtContent>
  </w:sdt>
  <w:p w14:paraId="70519A07" w14:textId="77777777" w:rsidR="004E4025" w:rsidRDefault="004E4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74E3"/>
    <w:multiLevelType w:val="hybridMultilevel"/>
    <w:tmpl w:val="157EDB4A"/>
    <w:lvl w:ilvl="0" w:tplc="6CE61FE6">
      <w:start w:val="1"/>
      <w:numFmt w:val="lowerLetter"/>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 w15:restartNumberingAfterBreak="0">
    <w:nsid w:val="104D013D"/>
    <w:multiLevelType w:val="hybridMultilevel"/>
    <w:tmpl w:val="61B6DF00"/>
    <w:lvl w:ilvl="0" w:tplc="12E08A98">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15:restartNumberingAfterBreak="0">
    <w:nsid w:val="1B44257A"/>
    <w:multiLevelType w:val="hybridMultilevel"/>
    <w:tmpl w:val="9F14410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DC7D3F"/>
    <w:multiLevelType w:val="hybridMultilevel"/>
    <w:tmpl w:val="89FCF60A"/>
    <w:lvl w:ilvl="0" w:tplc="6AAE02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1C50A1C"/>
    <w:multiLevelType w:val="hybridMultilevel"/>
    <w:tmpl w:val="105A95DC"/>
    <w:lvl w:ilvl="0" w:tplc="D024AB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D866A7"/>
    <w:multiLevelType w:val="hybridMultilevel"/>
    <w:tmpl w:val="43B86E30"/>
    <w:lvl w:ilvl="0" w:tplc="C34E3D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B0D1479"/>
    <w:multiLevelType w:val="hybridMultilevel"/>
    <w:tmpl w:val="155E032A"/>
    <w:lvl w:ilvl="0" w:tplc="F3D2642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F0271AA"/>
    <w:multiLevelType w:val="hybridMultilevel"/>
    <w:tmpl w:val="2952BB28"/>
    <w:lvl w:ilvl="0" w:tplc="A7B2D8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18F4045"/>
    <w:multiLevelType w:val="hybridMultilevel"/>
    <w:tmpl w:val="474469F4"/>
    <w:lvl w:ilvl="0" w:tplc="AA5275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41219E9"/>
    <w:multiLevelType w:val="hybridMultilevel"/>
    <w:tmpl w:val="E6C00516"/>
    <w:lvl w:ilvl="0" w:tplc="8F0E897C">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10" w15:restartNumberingAfterBreak="0">
    <w:nsid w:val="564F586D"/>
    <w:multiLevelType w:val="hybridMultilevel"/>
    <w:tmpl w:val="EEF25360"/>
    <w:lvl w:ilvl="0" w:tplc="2514B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98774D"/>
    <w:multiLevelType w:val="hybridMultilevel"/>
    <w:tmpl w:val="29D0849C"/>
    <w:lvl w:ilvl="0" w:tplc="1A50DF4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629D6AAA"/>
    <w:multiLevelType w:val="hybridMultilevel"/>
    <w:tmpl w:val="9C923BEA"/>
    <w:lvl w:ilvl="0" w:tplc="75280406">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3" w15:restartNumberingAfterBreak="0">
    <w:nsid w:val="648D51A9"/>
    <w:multiLevelType w:val="hybridMultilevel"/>
    <w:tmpl w:val="204A1622"/>
    <w:lvl w:ilvl="0" w:tplc="BFEA1EF0">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4" w15:restartNumberingAfterBreak="0">
    <w:nsid w:val="6BC76E5F"/>
    <w:multiLevelType w:val="hybridMultilevel"/>
    <w:tmpl w:val="B50C09E6"/>
    <w:lvl w:ilvl="0" w:tplc="6A6E797A">
      <w:start w:val="1"/>
      <w:numFmt w:val="upperRoman"/>
      <w:lvlText w:val="%1."/>
      <w:lvlJc w:val="left"/>
      <w:pPr>
        <w:ind w:left="1281" w:hanging="72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5" w15:restartNumberingAfterBreak="0">
    <w:nsid w:val="71964A85"/>
    <w:multiLevelType w:val="hybridMultilevel"/>
    <w:tmpl w:val="96B2A38E"/>
    <w:lvl w:ilvl="0" w:tplc="09321C7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7BA65AE3"/>
    <w:multiLevelType w:val="hybridMultilevel"/>
    <w:tmpl w:val="FAD09BF6"/>
    <w:lvl w:ilvl="0" w:tplc="FAC273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05649498">
    <w:abstractNumId w:val="4"/>
  </w:num>
  <w:num w:numId="2" w16cid:durableId="1581713189">
    <w:abstractNumId w:val="16"/>
  </w:num>
  <w:num w:numId="3" w16cid:durableId="1058943110">
    <w:abstractNumId w:val="13"/>
  </w:num>
  <w:num w:numId="4" w16cid:durableId="1595281270">
    <w:abstractNumId w:val="1"/>
  </w:num>
  <w:num w:numId="5" w16cid:durableId="313030177">
    <w:abstractNumId w:val="0"/>
  </w:num>
  <w:num w:numId="6" w16cid:durableId="398941353">
    <w:abstractNumId w:val="12"/>
  </w:num>
  <w:num w:numId="7" w16cid:durableId="753402755">
    <w:abstractNumId w:val="10"/>
  </w:num>
  <w:num w:numId="8" w16cid:durableId="1575360842">
    <w:abstractNumId w:val="14"/>
  </w:num>
  <w:num w:numId="9" w16cid:durableId="956176413">
    <w:abstractNumId w:val="15"/>
  </w:num>
  <w:num w:numId="10" w16cid:durableId="1631857628">
    <w:abstractNumId w:val="5"/>
  </w:num>
  <w:num w:numId="11" w16cid:durableId="1817868126">
    <w:abstractNumId w:val="3"/>
  </w:num>
  <w:num w:numId="12" w16cid:durableId="265160552">
    <w:abstractNumId w:val="9"/>
  </w:num>
  <w:num w:numId="13" w16cid:durableId="675770385">
    <w:abstractNumId w:val="11"/>
  </w:num>
  <w:num w:numId="14" w16cid:durableId="694697826">
    <w:abstractNumId w:val="8"/>
  </w:num>
  <w:num w:numId="15" w16cid:durableId="1360886371">
    <w:abstractNumId w:val="6"/>
  </w:num>
  <w:num w:numId="16" w16cid:durableId="819494224">
    <w:abstractNumId w:val="7"/>
  </w:num>
  <w:num w:numId="17" w16cid:durableId="1620450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109"/>
    <w:rsid w:val="0000342C"/>
    <w:rsid w:val="00004ACC"/>
    <w:rsid w:val="00004C65"/>
    <w:rsid w:val="000052D5"/>
    <w:rsid w:val="000076D1"/>
    <w:rsid w:val="00007971"/>
    <w:rsid w:val="0001236C"/>
    <w:rsid w:val="00012FBE"/>
    <w:rsid w:val="000132A8"/>
    <w:rsid w:val="00021D1A"/>
    <w:rsid w:val="00022E23"/>
    <w:rsid w:val="0002491E"/>
    <w:rsid w:val="00025438"/>
    <w:rsid w:val="000268BF"/>
    <w:rsid w:val="0003340E"/>
    <w:rsid w:val="00033D70"/>
    <w:rsid w:val="00036D8B"/>
    <w:rsid w:val="00037896"/>
    <w:rsid w:val="000425E8"/>
    <w:rsid w:val="00042B34"/>
    <w:rsid w:val="000433D1"/>
    <w:rsid w:val="00043C32"/>
    <w:rsid w:val="000449AC"/>
    <w:rsid w:val="00047416"/>
    <w:rsid w:val="00052D76"/>
    <w:rsid w:val="000548A2"/>
    <w:rsid w:val="000555EB"/>
    <w:rsid w:val="00063B9C"/>
    <w:rsid w:val="000649C5"/>
    <w:rsid w:val="00064E21"/>
    <w:rsid w:val="0006628E"/>
    <w:rsid w:val="0006692A"/>
    <w:rsid w:val="0007018D"/>
    <w:rsid w:val="00071E3E"/>
    <w:rsid w:val="00071F2B"/>
    <w:rsid w:val="00077114"/>
    <w:rsid w:val="00077BC5"/>
    <w:rsid w:val="000817AC"/>
    <w:rsid w:val="00084787"/>
    <w:rsid w:val="0008734D"/>
    <w:rsid w:val="00090969"/>
    <w:rsid w:val="00090E1A"/>
    <w:rsid w:val="000957A9"/>
    <w:rsid w:val="00096412"/>
    <w:rsid w:val="000970EC"/>
    <w:rsid w:val="000978E7"/>
    <w:rsid w:val="00097988"/>
    <w:rsid w:val="000A1986"/>
    <w:rsid w:val="000A1E41"/>
    <w:rsid w:val="000A42A4"/>
    <w:rsid w:val="000A6249"/>
    <w:rsid w:val="000B105A"/>
    <w:rsid w:val="000B4CA4"/>
    <w:rsid w:val="000B5495"/>
    <w:rsid w:val="000B56CD"/>
    <w:rsid w:val="000B6A17"/>
    <w:rsid w:val="000C0AC1"/>
    <w:rsid w:val="000C0BB0"/>
    <w:rsid w:val="000C0F4F"/>
    <w:rsid w:val="000C122D"/>
    <w:rsid w:val="000C128B"/>
    <w:rsid w:val="000C2258"/>
    <w:rsid w:val="000C2621"/>
    <w:rsid w:val="000C2993"/>
    <w:rsid w:val="000C3FE1"/>
    <w:rsid w:val="000C6073"/>
    <w:rsid w:val="000C61C2"/>
    <w:rsid w:val="000D0D59"/>
    <w:rsid w:val="000D1A89"/>
    <w:rsid w:val="000D1B9B"/>
    <w:rsid w:val="000D22D1"/>
    <w:rsid w:val="000D26AB"/>
    <w:rsid w:val="000D3D94"/>
    <w:rsid w:val="000D4308"/>
    <w:rsid w:val="000D60B6"/>
    <w:rsid w:val="000D65C6"/>
    <w:rsid w:val="000D70E3"/>
    <w:rsid w:val="000D749F"/>
    <w:rsid w:val="000E0ED0"/>
    <w:rsid w:val="000E1B04"/>
    <w:rsid w:val="000E5FD1"/>
    <w:rsid w:val="000E7750"/>
    <w:rsid w:val="000F0874"/>
    <w:rsid w:val="000F0EFF"/>
    <w:rsid w:val="000F24B7"/>
    <w:rsid w:val="000F3A36"/>
    <w:rsid w:val="000F54A0"/>
    <w:rsid w:val="0010007E"/>
    <w:rsid w:val="00105509"/>
    <w:rsid w:val="001056EE"/>
    <w:rsid w:val="00106971"/>
    <w:rsid w:val="00107B18"/>
    <w:rsid w:val="0011099D"/>
    <w:rsid w:val="00110B71"/>
    <w:rsid w:val="00113580"/>
    <w:rsid w:val="00113631"/>
    <w:rsid w:val="00113842"/>
    <w:rsid w:val="001138D3"/>
    <w:rsid w:val="00113ACE"/>
    <w:rsid w:val="001154F7"/>
    <w:rsid w:val="0011614C"/>
    <w:rsid w:val="00122E5F"/>
    <w:rsid w:val="00123840"/>
    <w:rsid w:val="00124E47"/>
    <w:rsid w:val="00125A24"/>
    <w:rsid w:val="001271B5"/>
    <w:rsid w:val="00127CBA"/>
    <w:rsid w:val="00130750"/>
    <w:rsid w:val="00132C3D"/>
    <w:rsid w:val="00135404"/>
    <w:rsid w:val="00140723"/>
    <w:rsid w:val="001440AA"/>
    <w:rsid w:val="00144804"/>
    <w:rsid w:val="001462D9"/>
    <w:rsid w:val="00146BCD"/>
    <w:rsid w:val="00147F53"/>
    <w:rsid w:val="00151D0F"/>
    <w:rsid w:val="00156B53"/>
    <w:rsid w:val="0015759D"/>
    <w:rsid w:val="001611F7"/>
    <w:rsid w:val="0016190F"/>
    <w:rsid w:val="001627C3"/>
    <w:rsid w:val="0016349A"/>
    <w:rsid w:val="00164185"/>
    <w:rsid w:val="001666FD"/>
    <w:rsid w:val="001710F9"/>
    <w:rsid w:val="00172234"/>
    <w:rsid w:val="00180768"/>
    <w:rsid w:val="00183DA2"/>
    <w:rsid w:val="00185E3B"/>
    <w:rsid w:val="001914B9"/>
    <w:rsid w:val="00191B7C"/>
    <w:rsid w:val="0019377A"/>
    <w:rsid w:val="00193DB4"/>
    <w:rsid w:val="00196591"/>
    <w:rsid w:val="00197339"/>
    <w:rsid w:val="001A2723"/>
    <w:rsid w:val="001A3C32"/>
    <w:rsid w:val="001A546C"/>
    <w:rsid w:val="001A5E05"/>
    <w:rsid w:val="001A7DF8"/>
    <w:rsid w:val="001B28E4"/>
    <w:rsid w:val="001B3176"/>
    <w:rsid w:val="001B34BD"/>
    <w:rsid w:val="001B4D5C"/>
    <w:rsid w:val="001C0504"/>
    <w:rsid w:val="001C0CF2"/>
    <w:rsid w:val="001C25EB"/>
    <w:rsid w:val="001C3558"/>
    <w:rsid w:val="001C5503"/>
    <w:rsid w:val="001C6F56"/>
    <w:rsid w:val="001C72E0"/>
    <w:rsid w:val="001C7B39"/>
    <w:rsid w:val="001D01C9"/>
    <w:rsid w:val="001D4011"/>
    <w:rsid w:val="001D5FD8"/>
    <w:rsid w:val="001D670E"/>
    <w:rsid w:val="001E0BC2"/>
    <w:rsid w:val="001E30E1"/>
    <w:rsid w:val="001E4FEC"/>
    <w:rsid w:val="001E7546"/>
    <w:rsid w:val="001E75AA"/>
    <w:rsid w:val="001E7DAA"/>
    <w:rsid w:val="001F0ED0"/>
    <w:rsid w:val="001F113D"/>
    <w:rsid w:val="001F3406"/>
    <w:rsid w:val="001F47BF"/>
    <w:rsid w:val="001F4AC5"/>
    <w:rsid w:val="00201CEA"/>
    <w:rsid w:val="0020365F"/>
    <w:rsid w:val="00211ECC"/>
    <w:rsid w:val="002140C9"/>
    <w:rsid w:val="002176EF"/>
    <w:rsid w:val="00217981"/>
    <w:rsid w:val="00217FE6"/>
    <w:rsid w:val="0022038F"/>
    <w:rsid w:val="00220CCA"/>
    <w:rsid w:val="00221D5B"/>
    <w:rsid w:val="002223B5"/>
    <w:rsid w:val="00223FD1"/>
    <w:rsid w:val="00224775"/>
    <w:rsid w:val="00226EEB"/>
    <w:rsid w:val="002308CD"/>
    <w:rsid w:val="00230C25"/>
    <w:rsid w:val="00231AEB"/>
    <w:rsid w:val="00232925"/>
    <w:rsid w:val="00233614"/>
    <w:rsid w:val="00234464"/>
    <w:rsid w:val="00236005"/>
    <w:rsid w:val="0023740E"/>
    <w:rsid w:val="0023744B"/>
    <w:rsid w:val="002428D4"/>
    <w:rsid w:val="00243A86"/>
    <w:rsid w:val="00246D3C"/>
    <w:rsid w:val="00252614"/>
    <w:rsid w:val="00252F1F"/>
    <w:rsid w:val="00253C90"/>
    <w:rsid w:val="0025559D"/>
    <w:rsid w:val="00256D93"/>
    <w:rsid w:val="002578FB"/>
    <w:rsid w:val="002600AE"/>
    <w:rsid w:val="002611BD"/>
    <w:rsid w:val="00261344"/>
    <w:rsid w:val="00262CD1"/>
    <w:rsid w:val="002756AD"/>
    <w:rsid w:val="002776B9"/>
    <w:rsid w:val="002820AF"/>
    <w:rsid w:val="002865FB"/>
    <w:rsid w:val="00291D39"/>
    <w:rsid w:val="002938F2"/>
    <w:rsid w:val="00295A2B"/>
    <w:rsid w:val="00295BE2"/>
    <w:rsid w:val="00296944"/>
    <w:rsid w:val="002A56B0"/>
    <w:rsid w:val="002A7F6E"/>
    <w:rsid w:val="002B02EE"/>
    <w:rsid w:val="002B0A9E"/>
    <w:rsid w:val="002B2A35"/>
    <w:rsid w:val="002B2DB0"/>
    <w:rsid w:val="002B4980"/>
    <w:rsid w:val="002C2BA4"/>
    <w:rsid w:val="002C3216"/>
    <w:rsid w:val="002C4359"/>
    <w:rsid w:val="002C4EE5"/>
    <w:rsid w:val="002C7948"/>
    <w:rsid w:val="002D436C"/>
    <w:rsid w:val="002D560E"/>
    <w:rsid w:val="002D7FCF"/>
    <w:rsid w:val="002E054D"/>
    <w:rsid w:val="002E5FC6"/>
    <w:rsid w:val="002E6F77"/>
    <w:rsid w:val="002F0110"/>
    <w:rsid w:val="002F2334"/>
    <w:rsid w:val="002F2AA2"/>
    <w:rsid w:val="002F3B4A"/>
    <w:rsid w:val="002F59A4"/>
    <w:rsid w:val="00302534"/>
    <w:rsid w:val="003044F5"/>
    <w:rsid w:val="00311929"/>
    <w:rsid w:val="003123DA"/>
    <w:rsid w:val="0031314F"/>
    <w:rsid w:val="00313875"/>
    <w:rsid w:val="00313A35"/>
    <w:rsid w:val="00313FCF"/>
    <w:rsid w:val="00316AA6"/>
    <w:rsid w:val="003179B4"/>
    <w:rsid w:val="00323128"/>
    <w:rsid w:val="003231CC"/>
    <w:rsid w:val="0032368E"/>
    <w:rsid w:val="00324B31"/>
    <w:rsid w:val="00325463"/>
    <w:rsid w:val="00330DC2"/>
    <w:rsid w:val="00331C0C"/>
    <w:rsid w:val="00332967"/>
    <w:rsid w:val="00334195"/>
    <w:rsid w:val="00334AF0"/>
    <w:rsid w:val="00334EC6"/>
    <w:rsid w:val="00335AA6"/>
    <w:rsid w:val="003371E2"/>
    <w:rsid w:val="00337C0B"/>
    <w:rsid w:val="00340543"/>
    <w:rsid w:val="00341CB9"/>
    <w:rsid w:val="00346CF9"/>
    <w:rsid w:val="00347FA3"/>
    <w:rsid w:val="00350F00"/>
    <w:rsid w:val="0035129E"/>
    <w:rsid w:val="003517C8"/>
    <w:rsid w:val="00353211"/>
    <w:rsid w:val="003555B0"/>
    <w:rsid w:val="00360BE2"/>
    <w:rsid w:val="00362F67"/>
    <w:rsid w:val="00366C71"/>
    <w:rsid w:val="0037239C"/>
    <w:rsid w:val="0037297F"/>
    <w:rsid w:val="00372AFF"/>
    <w:rsid w:val="00373265"/>
    <w:rsid w:val="0037639B"/>
    <w:rsid w:val="00377FF3"/>
    <w:rsid w:val="003802D5"/>
    <w:rsid w:val="00380347"/>
    <w:rsid w:val="003837AC"/>
    <w:rsid w:val="00384375"/>
    <w:rsid w:val="0038544B"/>
    <w:rsid w:val="00385663"/>
    <w:rsid w:val="0038651A"/>
    <w:rsid w:val="00386FCD"/>
    <w:rsid w:val="00390101"/>
    <w:rsid w:val="00390498"/>
    <w:rsid w:val="00391AA3"/>
    <w:rsid w:val="00391BA8"/>
    <w:rsid w:val="003949B5"/>
    <w:rsid w:val="00395422"/>
    <w:rsid w:val="0039565F"/>
    <w:rsid w:val="0039654D"/>
    <w:rsid w:val="00396A6E"/>
    <w:rsid w:val="003A0991"/>
    <w:rsid w:val="003A3E39"/>
    <w:rsid w:val="003A4556"/>
    <w:rsid w:val="003A4737"/>
    <w:rsid w:val="003A4FB9"/>
    <w:rsid w:val="003A79BD"/>
    <w:rsid w:val="003A7DC2"/>
    <w:rsid w:val="003B1A65"/>
    <w:rsid w:val="003C20A1"/>
    <w:rsid w:val="003C72FD"/>
    <w:rsid w:val="003D272B"/>
    <w:rsid w:val="003D49BA"/>
    <w:rsid w:val="003E4AB8"/>
    <w:rsid w:val="003F02A7"/>
    <w:rsid w:val="003F03FA"/>
    <w:rsid w:val="003F0CDC"/>
    <w:rsid w:val="003F6088"/>
    <w:rsid w:val="003F6A58"/>
    <w:rsid w:val="003F7D9C"/>
    <w:rsid w:val="00400517"/>
    <w:rsid w:val="0040058E"/>
    <w:rsid w:val="004012C6"/>
    <w:rsid w:val="00401D98"/>
    <w:rsid w:val="004033C4"/>
    <w:rsid w:val="00403522"/>
    <w:rsid w:val="004052A4"/>
    <w:rsid w:val="004053DE"/>
    <w:rsid w:val="00405859"/>
    <w:rsid w:val="00406544"/>
    <w:rsid w:val="00407BAA"/>
    <w:rsid w:val="0041076C"/>
    <w:rsid w:val="0041190A"/>
    <w:rsid w:val="004127FE"/>
    <w:rsid w:val="00413B1C"/>
    <w:rsid w:val="0041427C"/>
    <w:rsid w:val="00416B66"/>
    <w:rsid w:val="00417391"/>
    <w:rsid w:val="00421891"/>
    <w:rsid w:val="00421E47"/>
    <w:rsid w:val="004240C1"/>
    <w:rsid w:val="00426D5B"/>
    <w:rsid w:val="0043208F"/>
    <w:rsid w:val="00433B08"/>
    <w:rsid w:val="00434B13"/>
    <w:rsid w:val="00434E2E"/>
    <w:rsid w:val="00435C3A"/>
    <w:rsid w:val="00436502"/>
    <w:rsid w:val="0044360B"/>
    <w:rsid w:val="00445CDD"/>
    <w:rsid w:val="004467C7"/>
    <w:rsid w:val="004477F2"/>
    <w:rsid w:val="004523CA"/>
    <w:rsid w:val="004547E8"/>
    <w:rsid w:val="0045779C"/>
    <w:rsid w:val="00457F68"/>
    <w:rsid w:val="00462C5F"/>
    <w:rsid w:val="00463B71"/>
    <w:rsid w:val="004734E0"/>
    <w:rsid w:val="00473769"/>
    <w:rsid w:val="00474D55"/>
    <w:rsid w:val="004771A6"/>
    <w:rsid w:val="00477FEB"/>
    <w:rsid w:val="00482BD1"/>
    <w:rsid w:val="00485915"/>
    <w:rsid w:val="0049263F"/>
    <w:rsid w:val="00492801"/>
    <w:rsid w:val="00492913"/>
    <w:rsid w:val="00493385"/>
    <w:rsid w:val="00493AD3"/>
    <w:rsid w:val="00494469"/>
    <w:rsid w:val="00494BED"/>
    <w:rsid w:val="00495ACA"/>
    <w:rsid w:val="00495FCE"/>
    <w:rsid w:val="00496A23"/>
    <w:rsid w:val="004A0B1E"/>
    <w:rsid w:val="004A2AB7"/>
    <w:rsid w:val="004A2D2B"/>
    <w:rsid w:val="004A5544"/>
    <w:rsid w:val="004A5983"/>
    <w:rsid w:val="004B02FC"/>
    <w:rsid w:val="004B06A2"/>
    <w:rsid w:val="004B07E2"/>
    <w:rsid w:val="004B173A"/>
    <w:rsid w:val="004B3911"/>
    <w:rsid w:val="004B3A04"/>
    <w:rsid w:val="004B5384"/>
    <w:rsid w:val="004B5CC2"/>
    <w:rsid w:val="004B65CC"/>
    <w:rsid w:val="004B77B6"/>
    <w:rsid w:val="004C052C"/>
    <w:rsid w:val="004C13D7"/>
    <w:rsid w:val="004C375C"/>
    <w:rsid w:val="004C75EE"/>
    <w:rsid w:val="004C7EF8"/>
    <w:rsid w:val="004D0301"/>
    <w:rsid w:val="004D1D69"/>
    <w:rsid w:val="004D298E"/>
    <w:rsid w:val="004D2B63"/>
    <w:rsid w:val="004D2FE7"/>
    <w:rsid w:val="004D4CDF"/>
    <w:rsid w:val="004D5B62"/>
    <w:rsid w:val="004E0102"/>
    <w:rsid w:val="004E268C"/>
    <w:rsid w:val="004E3EBD"/>
    <w:rsid w:val="004E4025"/>
    <w:rsid w:val="004E72C5"/>
    <w:rsid w:val="004F0D73"/>
    <w:rsid w:val="00502494"/>
    <w:rsid w:val="00513542"/>
    <w:rsid w:val="005140A1"/>
    <w:rsid w:val="00514D1B"/>
    <w:rsid w:val="005155BC"/>
    <w:rsid w:val="00521CC6"/>
    <w:rsid w:val="00522243"/>
    <w:rsid w:val="00523577"/>
    <w:rsid w:val="00525B3D"/>
    <w:rsid w:val="00525F3F"/>
    <w:rsid w:val="00531642"/>
    <w:rsid w:val="00532462"/>
    <w:rsid w:val="00532876"/>
    <w:rsid w:val="005345A1"/>
    <w:rsid w:val="00541CDB"/>
    <w:rsid w:val="005452EE"/>
    <w:rsid w:val="00545612"/>
    <w:rsid w:val="0055010F"/>
    <w:rsid w:val="00550763"/>
    <w:rsid w:val="00550FE7"/>
    <w:rsid w:val="00557E21"/>
    <w:rsid w:val="00560968"/>
    <w:rsid w:val="00561A7A"/>
    <w:rsid w:val="00563A5D"/>
    <w:rsid w:val="0056441B"/>
    <w:rsid w:val="00565C3A"/>
    <w:rsid w:val="00566BCB"/>
    <w:rsid w:val="00571D8A"/>
    <w:rsid w:val="005764D4"/>
    <w:rsid w:val="00577BFC"/>
    <w:rsid w:val="00581CFF"/>
    <w:rsid w:val="005835CE"/>
    <w:rsid w:val="00584D91"/>
    <w:rsid w:val="0058558B"/>
    <w:rsid w:val="005875C9"/>
    <w:rsid w:val="00587BB4"/>
    <w:rsid w:val="00594FF7"/>
    <w:rsid w:val="0059621E"/>
    <w:rsid w:val="005A2159"/>
    <w:rsid w:val="005A64DF"/>
    <w:rsid w:val="005B04BE"/>
    <w:rsid w:val="005B0A09"/>
    <w:rsid w:val="005B1857"/>
    <w:rsid w:val="005B1FDF"/>
    <w:rsid w:val="005B2850"/>
    <w:rsid w:val="005B3180"/>
    <w:rsid w:val="005B5718"/>
    <w:rsid w:val="005B5A62"/>
    <w:rsid w:val="005B678D"/>
    <w:rsid w:val="005C227C"/>
    <w:rsid w:val="005C49AF"/>
    <w:rsid w:val="005C5042"/>
    <w:rsid w:val="005C52AF"/>
    <w:rsid w:val="005C75E7"/>
    <w:rsid w:val="005D49A8"/>
    <w:rsid w:val="005D55C7"/>
    <w:rsid w:val="005D5B0B"/>
    <w:rsid w:val="005D5EA0"/>
    <w:rsid w:val="005D77B4"/>
    <w:rsid w:val="005E05EF"/>
    <w:rsid w:val="005E0E49"/>
    <w:rsid w:val="005E27FE"/>
    <w:rsid w:val="005E28B6"/>
    <w:rsid w:val="005E33CA"/>
    <w:rsid w:val="005E427A"/>
    <w:rsid w:val="005E5626"/>
    <w:rsid w:val="005E58CA"/>
    <w:rsid w:val="005E6ACC"/>
    <w:rsid w:val="005E758A"/>
    <w:rsid w:val="005E7E28"/>
    <w:rsid w:val="005F211E"/>
    <w:rsid w:val="005F39A8"/>
    <w:rsid w:val="005F3C48"/>
    <w:rsid w:val="005F4ADA"/>
    <w:rsid w:val="005F4C8C"/>
    <w:rsid w:val="00605557"/>
    <w:rsid w:val="00605A92"/>
    <w:rsid w:val="00607FB3"/>
    <w:rsid w:val="00610928"/>
    <w:rsid w:val="00610B31"/>
    <w:rsid w:val="00610B67"/>
    <w:rsid w:val="00613787"/>
    <w:rsid w:val="00613DA1"/>
    <w:rsid w:val="00615D71"/>
    <w:rsid w:val="00616F7E"/>
    <w:rsid w:val="00620446"/>
    <w:rsid w:val="00620EA7"/>
    <w:rsid w:val="00620FC4"/>
    <w:rsid w:val="00623C5D"/>
    <w:rsid w:val="00623F24"/>
    <w:rsid w:val="00625C41"/>
    <w:rsid w:val="006276EB"/>
    <w:rsid w:val="00627839"/>
    <w:rsid w:val="006303D4"/>
    <w:rsid w:val="006320C1"/>
    <w:rsid w:val="006321FA"/>
    <w:rsid w:val="0063581E"/>
    <w:rsid w:val="00640295"/>
    <w:rsid w:val="006404BF"/>
    <w:rsid w:val="006416A2"/>
    <w:rsid w:val="00644A63"/>
    <w:rsid w:val="00644B8C"/>
    <w:rsid w:val="006461A0"/>
    <w:rsid w:val="00646D4A"/>
    <w:rsid w:val="006511D6"/>
    <w:rsid w:val="00651439"/>
    <w:rsid w:val="006522DE"/>
    <w:rsid w:val="0065518D"/>
    <w:rsid w:val="00655E78"/>
    <w:rsid w:val="0066347C"/>
    <w:rsid w:val="00664A73"/>
    <w:rsid w:val="0066551F"/>
    <w:rsid w:val="006655A7"/>
    <w:rsid w:val="00666447"/>
    <w:rsid w:val="0067089A"/>
    <w:rsid w:val="00671D8D"/>
    <w:rsid w:val="00673202"/>
    <w:rsid w:val="006760E6"/>
    <w:rsid w:val="0068171E"/>
    <w:rsid w:val="00681E44"/>
    <w:rsid w:val="0068206C"/>
    <w:rsid w:val="00684B95"/>
    <w:rsid w:val="00685C4A"/>
    <w:rsid w:val="00687087"/>
    <w:rsid w:val="006875EF"/>
    <w:rsid w:val="006918EC"/>
    <w:rsid w:val="006934EF"/>
    <w:rsid w:val="00695029"/>
    <w:rsid w:val="00696EA0"/>
    <w:rsid w:val="00697D63"/>
    <w:rsid w:val="006A0232"/>
    <w:rsid w:val="006A10EA"/>
    <w:rsid w:val="006A3486"/>
    <w:rsid w:val="006A3EE7"/>
    <w:rsid w:val="006B0E56"/>
    <w:rsid w:val="006B3CCD"/>
    <w:rsid w:val="006B4028"/>
    <w:rsid w:val="006B5789"/>
    <w:rsid w:val="006B713A"/>
    <w:rsid w:val="006B7EFB"/>
    <w:rsid w:val="006C0CAE"/>
    <w:rsid w:val="006C1701"/>
    <w:rsid w:val="006C2790"/>
    <w:rsid w:val="006C4231"/>
    <w:rsid w:val="006C6B5E"/>
    <w:rsid w:val="006C76F9"/>
    <w:rsid w:val="006C7BB1"/>
    <w:rsid w:val="006D0420"/>
    <w:rsid w:val="006D40EB"/>
    <w:rsid w:val="006D57A5"/>
    <w:rsid w:val="006D5F97"/>
    <w:rsid w:val="006D6210"/>
    <w:rsid w:val="006D74B1"/>
    <w:rsid w:val="006D778A"/>
    <w:rsid w:val="006D7F17"/>
    <w:rsid w:val="006E5D11"/>
    <w:rsid w:val="006F12DB"/>
    <w:rsid w:val="006F24E3"/>
    <w:rsid w:val="006F5E4B"/>
    <w:rsid w:val="007008C8"/>
    <w:rsid w:val="00701C1B"/>
    <w:rsid w:val="007028E6"/>
    <w:rsid w:val="00706064"/>
    <w:rsid w:val="00706430"/>
    <w:rsid w:val="007071D9"/>
    <w:rsid w:val="007104CB"/>
    <w:rsid w:val="00713317"/>
    <w:rsid w:val="007145EA"/>
    <w:rsid w:val="00716112"/>
    <w:rsid w:val="007171E3"/>
    <w:rsid w:val="00717F6E"/>
    <w:rsid w:val="007213DE"/>
    <w:rsid w:val="00721B06"/>
    <w:rsid w:val="00722CBB"/>
    <w:rsid w:val="00725261"/>
    <w:rsid w:val="00725ABC"/>
    <w:rsid w:val="0072732E"/>
    <w:rsid w:val="007318D9"/>
    <w:rsid w:val="00731D9F"/>
    <w:rsid w:val="00732606"/>
    <w:rsid w:val="00733401"/>
    <w:rsid w:val="00735053"/>
    <w:rsid w:val="00737771"/>
    <w:rsid w:val="007401ED"/>
    <w:rsid w:val="00742A75"/>
    <w:rsid w:val="0074338D"/>
    <w:rsid w:val="00744C1D"/>
    <w:rsid w:val="00745B9C"/>
    <w:rsid w:val="00745BAC"/>
    <w:rsid w:val="00745C8B"/>
    <w:rsid w:val="00746AB3"/>
    <w:rsid w:val="00750558"/>
    <w:rsid w:val="00753EAC"/>
    <w:rsid w:val="0075685B"/>
    <w:rsid w:val="007572DC"/>
    <w:rsid w:val="00757C84"/>
    <w:rsid w:val="00760B69"/>
    <w:rsid w:val="00760FC6"/>
    <w:rsid w:val="007614D2"/>
    <w:rsid w:val="007619FE"/>
    <w:rsid w:val="00761A2E"/>
    <w:rsid w:val="00762975"/>
    <w:rsid w:val="0076345C"/>
    <w:rsid w:val="00764082"/>
    <w:rsid w:val="00764394"/>
    <w:rsid w:val="0076626F"/>
    <w:rsid w:val="00770D09"/>
    <w:rsid w:val="00772B8B"/>
    <w:rsid w:val="00773DCB"/>
    <w:rsid w:val="007740E3"/>
    <w:rsid w:val="007768A7"/>
    <w:rsid w:val="007810DA"/>
    <w:rsid w:val="00781564"/>
    <w:rsid w:val="0078183F"/>
    <w:rsid w:val="007822C4"/>
    <w:rsid w:val="0078698D"/>
    <w:rsid w:val="00786C7E"/>
    <w:rsid w:val="0078707C"/>
    <w:rsid w:val="0079348E"/>
    <w:rsid w:val="007937F1"/>
    <w:rsid w:val="00793F2C"/>
    <w:rsid w:val="00794D0F"/>
    <w:rsid w:val="00795684"/>
    <w:rsid w:val="00796107"/>
    <w:rsid w:val="00796152"/>
    <w:rsid w:val="007964B6"/>
    <w:rsid w:val="0079685D"/>
    <w:rsid w:val="007A2178"/>
    <w:rsid w:val="007A2C16"/>
    <w:rsid w:val="007A4323"/>
    <w:rsid w:val="007B0DFC"/>
    <w:rsid w:val="007B15D8"/>
    <w:rsid w:val="007B440D"/>
    <w:rsid w:val="007B4E5C"/>
    <w:rsid w:val="007B6B51"/>
    <w:rsid w:val="007C4303"/>
    <w:rsid w:val="007C57AB"/>
    <w:rsid w:val="007D0A57"/>
    <w:rsid w:val="007D160F"/>
    <w:rsid w:val="007D2C39"/>
    <w:rsid w:val="007D383B"/>
    <w:rsid w:val="007D45C4"/>
    <w:rsid w:val="007E0DEF"/>
    <w:rsid w:val="007E0F20"/>
    <w:rsid w:val="007E476B"/>
    <w:rsid w:val="007F0A6E"/>
    <w:rsid w:val="007F3CE0"/>
    <w:rsid w:val="007F463D"/>
    <w:rsid w:val="007F7718"/>
    <w:rsid w:val="00800764"/>
    <w:rsid w:val="008023E5"/>
    <w:rsid w:val="00803774"/>
    <w:rsid w:val="00803865"/>
    <w:rsid w:val="00804918"/>
    <w:rsid w:val="008053FC"/>
    <w:rsid w:val="00805D3A"/>
    <w:rsid w:val="008113C7"/>
    <w:rsid w:val="00811B44"/>
    <w:rsid w:val="00811CC0"/>
    <w:rsid w:val="0081355E"/>
    <w:rsid w:val="008155AD"/>
    <w:rsid w:val="00822418"/>
    <w:rsid w:val="00822A1B"/>
    <w:rsid w:val="0082379E"/>
    <w:rsid w:val="008271D7"/>
    <w:rsid w:val="00830E50"/>
    <w:rsid w:val="00831882"/>
    <w:rsid w:val="008339C3"/>
    <w:rsid w:val="00834B1E"/>
    <w:rsid w:val="00834E56"/>
    <w:rsid w:val="00837241"/>
    <w:rsid w:val="00842D82"/>
    <w:rsid w:val="0084304F"/>
    <w:rsid w:val="00843375"/>
    <w:rsid w:val="00850813"/>
    <w:rsid w:val="00851980"/>
    <w:rsid w:val="00857502"/>
    <w:rsid w:val="00860833"/>
    <w:rsid w:val="0086086C"/>
    <w:rsid w:val="00861AC4"/>
    <w:rsid w:val="00864278"/>
    <w:rsid w:val="00866484"/>
    <w:rsid w:val="00867380"/>
    <w:rsid w:val="00867970"/>
    <w:rsid w:val="008714B5"/>
    <w:rsid w:val="008745E0"/>
    <w:rsid w:val="008748F5"/>
    <w:rsid w:val="008755D7"/>
    <w:rsid w:val="008756A9"/>
    <w:rsid w:val="00881A80"/>
    <w:rsid w:val="00881BE7"/>
    <w:rsid w:val="00883DBC"/>
    <w:rsid w:val="008906D6"/>
    <w:rsid w:val="00890F27"/>
    <w:rsid w:val="00895C8B"/>
    <w:rsid w:val="0089723C"/>
    <w:rsid w:val="008A0662"/>
    <w:rsid w:val="008A1C69"/>
    <w:rsid w:val="008A2104"/>
    <w:rsid w:val="008A3AE7"/>
    <w:rsid w:val="008A3E48"/>
    <w:rsid w:val="008B6B93"/>
    <w:rsid w:val="008C3CA6"/>
    <w:rsid w:val="008C4C30"/>
    <w:rsid w:val="008C5EF8"/>
    <w:rsid w:val="008C62F7"/>
    <w:rsid w:val="008C6ABF"/>
    <w:rsid w:val="008C7CE4"/>
    <w:rsid w:val="008D1E48"/>
    <w:rsid w:val="008D29AF"/>
    <w:rsid w:val="008D4234"/>
    <w:rsid w:val="008D489F"/>
    <w:rsid w:val="008D752C"/>
    <w:rsid w:val="008E0BCA"/>
    <w:rsid w:val="008E0D17"/>
    <w:rsid w:val="008E3C60"/>
    <w:rsid w:val="008E3C8B"/>
    <w:rsid w:val="008E41A0"/>
    <w:rsid w:val="008E5BF1"/>
    <w:rsid w:val="008E65A4"/>
    <w:rsid w:val="008E735A"/>
    <w:rsid w:val="008F12C4"/>
    <w:rsid w:val="008F15BE"/>
    <w:rsid w:val="008F18EF"/>
    <w:rsid w:val="008F3DA0"/>
    <w:rsid w:val="008F53EE"/>
    <w:rsid w:val="008F5864"/>
    <w:rsid w:val="009023F6"/>
    <w:rsid w:val="009030B9"/>
    <w:rsid w:val="00904164"/>
    <w:rsid w:val="00905967"/>
    <w:rsid w:val="00907C43"/>
    <w:rsid w:val="00910DDC"/>
    <w:rsid w:val="00911E48"/>
    <w:rsid w:val="00911E75"/>
    <w:rsid w:val="009136A5"/>
    <w:rsid w:val="009137BA"/>
    <w:rsid w:val="00915136"/>
    <w:rsid w:val="009169EB"/>
    <w:rsid w:val="009177AE"/>
    <w:rsid w:val="00920147"/>
    <w:rsid w:val="00920E45"/>
    <w:rsid w:val="0092179B"/>
    <w:rsid w:val="00921ECC"/>
    <w:rsid w:val="009245D9"/>
    <w:rsid w:val="009302F7"/>
    <w:rsid w:val="00931C51"/>
    <w:rsid w:val="00932BBD"/>
    <w:rsid w:val="0093337C"/>
    <w:rsid w:val="0093381B"/>
    <w:rsid w:val="00936231"/>
    <w:rsid w:val="00936544"/>
    <w:rsid w:val="00936C81"/>
    <w:rsid w:val="00936FC6"/>
    <w:rsid w:val="009371E2"/>
    <w:rsid w:val="0093784A"/>
    <w:rsid w:val="009407ED"/>
    <w:rsid w:val="00940A1D"/>
    <w:rsid w:val="00941736"/>
    <w:rsid w:val="00941911"/>
    <w:rsid w:val="00942544"/>
    <w:rsid w:val="00944986"/>
    <w:rsid w:val="00944F39"/>
    <w:rsid w:val="00945486"/>
    <w:rsid w:val="009511F6"/>
    <w:rsid w:val="00951992"/>
    <w:rsid w:val="00954A5E"/>
    <w:rsid w:val="00961F4A"/>
    <w:rsid w:val="009655C6"/>
    <w:rsid w:val="00971FE7"/>
    <w:rsid w:val="00973512"/>
    <w:rsid w:val="00973B65"/>
    <w:rsid w:val="00975084"/>
    <w:rsid w:val="00982D65"/>
    <w:rsid w:val="009858BB"/>
    <w:rsid w:val="00985AD0"/>
    <w:rsid w:val="00985F31"/>
    <w:rsid w:val="00986863"/>
    <w:rsid w:val="009869D3"/>
    <w:rsid w:val="00987BB2"/>
    <w:rsid w:val="00992491"/>
    <w:rsid w:val="00992E1D"/>
    <w:rsid w:val="0099575B"/>
    <w:rsid w:val="009A0C5F"/>
    <w:rsid w:val="009A3E38"/>
    <w:rsid w:val="009A4DFF"/>
    <w:rsid w:val="009B15B1"/>
    <w:rsid w:val="009B206B"/>
    <w:rsid w:val="009B222C"/>
    <w:rsid w:val="009B3BAF"/>
    <w:rsid w:val="009B46EE"/>
    <w:rsid w:val="009B5251"/>
    <w:rsid w:val="009B5E5E"/>
    <w:rsid w:val="009B6239"/>
    <w:rsid w:val="009B7750"/>
    <w:rsid w:val="009C2E58"/>
    <w:rsid w:val="009C3911"/>
    <w:rsid w:val="009C79BF"/>
    <w:rsid w:val="009D6E54"/>
    <w:rsid w:val="009D6F80"/>
    <w:rsid w:val="009E43D2"/>
    <w:rsid w:val="009E4C7E"/>
    <w:rsid w:val="009E4DF3"/>
    <w:rsid w:val="009E593F"/>
    <w:rsid w:val="009E5F5A"/>
    <w:rsid w:val="009E6637"/>
    <w:rsid w:val="009E6BBB"/>
    <w:rsid w:val="009E6EC0"/>
    <w:rsid w:val="009F05F6"/>
    <w:rsid w:val="009F0748"/>
    <w:rsid w:val="009F3353"/>
    <w:rsid w:val="009F3FAA"/>
    <w:rsid w:val="009F7314"/>
    <w:rsid w:val="00A05AB8"/>
    <w:rsid w:val="00A07C6B"/>
    <w:rsid w:val="00A1003F"/>
    <w:rsid w:val="00A11ADF"/>
    <w:rsid w:val="00A124FF"/>
    <w:rsid w:val="00A20C8D"/>
    <w:rsid w:val="00A2360D"/>
    <w:rsid w:val="00A238F8"/>
    <w:rsid w:val="00A24B63"/>
    <w:rsid w:val="00A31265"/>
    <w:rsid w:val="00A31CCC"/>
    <w:rsid w:val="00A3245A"/>
    <w:rsid w:val="00A3275F"/>
    <w:rsid w:val="00A342AC"/>
    <w:rsid w:val="00A3670F"/>
    <w:rsid w:val="00A418EC"/>
    <w:rsid w:val="00A42887"/>
    <w:rsid w:val="00A4393C"/>
    <w:rsid w:val="00A43964"/>
    <w:rsid w:val="00A44BF5"/>
    <w:rsid w:val="00A47B22"/>
    <w:rsid w:val="00A53E62"/>
    <w:rsid w:val="00A54B30"/>
    <w:rsid w:val="00A5509D"/>
    <w:rsid w:val="00A55B7F"/>
    <w:rsid w:val="00A615EF"/>
    <w:rsid w:val="00A61616"/>
    <w:rsid w:val="00A62E02"/>
    <w:rsid w:val="00A6712A"/>
    <w:rsid w:val="00A71804"/>
    <w:rsid w:val="00A73589"/>
    <w:rsid w:val="00A73D4D"/>
    <w:rsid w:val="00A75050"/>
    <w:rsid w:val="00A75B7E"/>
    <w:rsid w:val="00A77E26"/>
    <w:rsid w:val="00A8271B"/>
    <w:rsid w:val="00A8363A"/>
    <w:rsid w:val="00A8383D"/>
    <w:rsid w:val="00A8415E"/>
    <w:rsid w:val="00A84AE4"/>
    <w:rsid w:val="00A850DC"/>
    <w:rsid w:val="00A851B7"/>
    <w:rsid w:val="00A869BB"/>
    <w:rsid w:val="00A87725"/>
    <w:rsid w:val="00A87F93"/>
    <w:rsid w:val="00A90E6A"/>
    <w:rsid w:val="00A90F81"/>
    <w:rsid w:val="00A92611"/>
    <w:rsid w:val="00AA36F0"/>
    <w:rsid w:val="00AA374F"/>
    <w:rsid w:val="00AA47BB"/>
    <w:rsid w:val="00AA4DD1"/>
    <w:rsid w:val="00AA601B"/>
    <w:rsid w:val="00AB3247"/>
    <w:rsid w:val="00AB3D92"/>
    <w:rsid w:val="00AB6221"/>
    <w:rsid w:val="00AB7494"/>
    <w:rsid w:val="00AC24F8"/>
    <w:rsid w:val="00AC4922"/>
    <w:rsid w:val="00AC4A0B"/>
    <w:rsid w:val="00AC7451"/>
    <w:rsid w:val="00AC75A4"/>
    <w:rsid w:val="00AD297E"/>
    <w:rsid w:val="00AD6339"/>
    <w:rsid w:val="00AD7B67"/>
    <w:rsid w:val="00AE17F9"/>
    <w:rsid w:val="00AE463C"/>
    <w:rsid w:val="00AE47AC"/>
    <w:rsid w:val="00AE5FCF"/>
    <w:rsid w:val="00AE6ABF"/>
    <w:rsid w:val="00AE78F6"/>
    <w:rsid w:val="00AF3152"/>
    <w:rsid w:val="00AF3474"/>
    <w:rsid w:val="00AF3F90"/>
    <w:rsid w:val="00AF548D"/>
    <w:rsid w:val="00AF5A41"/>
    <w:rsid w:val="00AF6274"/>
    <w:rsid w:val="00AF6CAC"/>
    <w:rsid w:val="00AF6F21"/>
    <w:rsid w:val="00B01F41"/>
    <w:rsid w:val="00B05361"/>
    <w:rsid w:val="00B05369"/>
    <w:rsid w:val="00B05DF6"/>
    <w:rsid w:val="00B0769B"/>
    <w:rsid w:val="00B1298D"/>
    <w:rsid w:val="00B13600"/>
    <w:rsid w:val="00B13E65"/>
    <w:rsid w:val="00B17750"/>
    <w:rsid w:val="00B238D0"/>
    <w:rsid w:val="00B25D71"/>
    <w:rsid w:val="00B3194E"/>
    <w:rsid w:val="00B32DCE"/>
    <w:rsid w:val="00B3739F"/>
    <w:rsid w:val="00B40BC8"/>
    <w:rsid w:val="00B4122A"/>
    <w:rsid w:val="00B43F46"/>
    <w:rsid w:val="00B444A1"/>
    <w:rsid w:val="00B45030"/>
    <w:rsid w:val="00B45AB0"/>
    <w:rsid w:val="00B46B9D"/>
    <w:rsid w:val="00B5487C"/>
    <w:rsid w:val="00B5636E"/>
    <w:rsid w:val="00B621A0"/>
    <w:rsid w:val="00B622F7"/>
    <w:rsid w:val="00B6241A"/>
    <w:rsid w:val="00B63B94"/>
    <w:rsid w:val="00B654DA"/>
    <w:rsid w:val="00B7106E"/>
    <w:rsid w:val="00B71099"/>
    <w:rsid w:val="00B72088"/>
    <w:rsid w:val="00B725B3"/>
    <w:rsid w:val="00B752E0"/>
    <w:rsid w:val="00B80337"/>
    <w:rsid w:val="00B80497"/>
    <w:rsid w:val="00B80CBC"/>
    <w:rsid w:val="00B812A2"/>
    <w:rsid w:val="00B81C8E"/>
    <w:rsid w:val="00B82D52"/>
    <w:rsid w:val="00B865E9"/>
    <w:rsid w:val="00B86F21"/>
    <w:rsid w:val="00B911EB"/>
    <w:rsid w:val="00B91BB6"/>
    <w:rsid w:val="00B92139"/>
    <w:rsid w:val="00B92DF0"/>
    <w:rsid w:val="00B940AE"/>
    <w:rsid w:val="00BA39D3"/>
    <w:rsid w:val="00BA6ADE"/>
    <w:rsid w:val="00BA6F79"/>
    <w:rsid w:val="00BA79AD"/>
    <w:rsid w:val="00BA7F33"/>
    <w:rsid w:val="00BB36FE"/>
    <w:rsid w:val="00BB3D52"/>
    <w:rsid w:val="00BB41D7"/>
    <w:rsid w:val="00BB4401"/>
    <w:rsid w:val="00BC087F"/>
    <w:rsid w:val="00BC3429"/>
    <w:rsid w:val="00BC3B3B"/>
    <w:rsid w:val="00BC55A2"/>
    <w:rsid w:val="00BD0070"/>
    <w:rsid w:val="00BD0FE3"/>
    <w:rsid w:val="00BD1B8F"/>
    <w:rsid w:val="00BD1F4F"/>
    <w:rsid w:val="00BD480B"/>
    <w:rsid w:val="00BD544B"/>
    <w:rsid w:val="00BD7B39"/>
    <w:rsid w:val="00BE0347"/>
    <w:rsid w:val="00BE08C9"/>
    <w:rsid w:val="00BE1D99"/>
    <w:rsid w:val="00BE2209"/>
    <w:rsid w:val="00BE287B"/>
    <w:rsid w:val="00BE54AF"/>
    <w:rsid w:val="00BE5F56"/>
    <w:rsid w:val="00BE7272"/>
    <w:rsid w:val="00BF2A8A"/>
    <w:rsid w:val="00BF342A"/>
    <w:rsid w:val="00BF6728"/>
    <w:rsid w:val="00BF6757"/>
    <w:rsid w:val="00BF7177"/>
    <w:rsid w:val="00C00D73"/>
    <w:rsid w:val="00C02712"/>
    <w:rsid w:val="00C03ADD"/>
    <w:rsid w:val="00C045F2"/>
    <w:rsid w:val="00C04777"/>
    <w:rsid w:val="00C10C53"/>
    <w:rsid w:val="00C1116F"/>
    <w:rsid w:val="00C14486"/>
    <w:rsid w:val="00C152F6"/>
    <w:rsid w:val="00C1659F"/>
    <w:rsid w:val="00C21E47"/>
    <w:rsid w:val="00C23774"/>
    <w:rsid w:val="00C23AD9"/>
    <w:rsid w:val="00C23EC9"/>
    <w:rsid w:val="00C25613"/>
    <w:rsid w:val="00C30FF2"/>
    <w:rsid w:val="00C31930"/>
    <w:rsid w:val="00C31B8D"/>
    <w:rsid w:val="00C31CC6"/>
    <w:rsid w:val="00C31CE7"/>
    <w:rsid w:val="00C343C9"/>
    <w:rsid w:val="00C3551A"/>
    <w:rsid w:val="00C367C7"/>
    <w:rsid w:val="00C36CE5"/>
    <w:rsid w:val="00C40476"/>
    <w:rsid w:val="00C41B03"/>
    <w:rsid w:val="00C43A75"/>
    <w:rsid w:val="00C44FB4"/>
    <w:rsid w:val="00C45B9E"/>
    <w:rsid w:val="00C468DF"/>
    <w:rsid w:val="00C478AA"/>
    <w:rsid w:val="00C47E0B"/>
    <w:rsid w:val="00C5347A"/>
    <w:rsid w:val="00C548B4"/>
    <w:rsid w:val="00C54B4E"/>
    <w:rsid w:val="00C62623"/>
    <w:rsid w:val="00C62F47"/>
    <w:rsid w:val="00C65C47"/>
    <w:rsid w:val="00C66741"/>
    <w:rsid w:val="00C6708D"/>
    <w:rsid w:val="00C67F4C"/>
    <w:rsid w:val="00C708C9"/>
    <w:rsid w:val="00C7179E"/>
    <w:rsid w:val="00C71930"/>
    <w:rsid w:val="00C72BBA"/>
    <w:rsid w:val="00C7321F"/>
    <w:rsid w:val="00C737AC"/>
    <w:rsid w:val="00C73861"/>
    <w:rsid w:val="00C74DCC"/>
    <w:rsid w:val="00C75BC5"/>
    <w:rsid w:val="00C7649A"/>
    <w:rsid w:val="00C77D68"/>
    <w:rsid w:val="00C80885"/>
    <w:rsid w:val="00C84DA8"/>
    <w:rsid w:val="00C85A2D"/>
    <w:rsid w:val="00C86FBC"/>
    <w:rsid w:val="00C87A8E"/>
    <w:rsid w:val="00C90531"/>
    <w:rsid w:val="00C9096D"/>
    <w:rsid w:val="00C91F10"/>
    <w:rsid w:val="00C92A18"/>
    <w:rsid w:val="00C92B7A"/>
    <w:rsid w:val="00C93EFF"/>
    <w:rsid w:val="00C9570C"/>
    <w:rsid w:val="00C95F44"/>
    <w:rsid w:val="00CA01CD"/>
    <w:rsid w:val="00CA1796"/>
    <w:rsid w:val="00CA2A2A"/>
    <w:rsid w:val="00CA4880"/>
    <w:rsid w:val="00CA7FF3"/>
    <w:rsid w:val="00CB0F99"/>
    <w:rsid w:val="00CB52D9"/>
    <w:rsid w:val="00CB6930"/>
    <w:rsid w:val="00CB762B"/>
    <w:rsid w:val="00CB7A82"/>
    <w:rsid w:val="00CB7C54"/>
    <w:rsid w:val="00CC2058"/>
    <w:rsid w:val="00CC21BF"/>
    <w:rsid w:val="00CC59D6"/>
    <w:rsid w:val="00CC5E15"/>
    <w:rsid w:val="00CD018A"/>
    <w:rsid w:val="00CD06D1"/>
    <w:rsid w:val="00CD0C60"/>
    <w:rsid w:val="00CD62A8"/>
    <w:rsid w:val="00CD7AA8"/>
    <w:rsid w:val="00CE3093"/>
    <w:rsid w:val="00CE38D4"/>
    <w:rsid w:val="00CE4D8A"/>
    <w:rsid w:val="00CE6F5A"/>
    <w:rsid w:val="00CF1142"/>
    <w:rsid w:val="00CF257B"/>
    <w:rsid w:val="00CF51D8"/>
    <w:rsid w:val="00CF5D8A"/>
    <w:rsid w:val="00CF6210"/>
    <w:rsid w:val="00D00CE7"/>
    <w:rsid w:val="00D017C8"/>
    <w:rsid w:val="00D02648"/>
    <w:rsid w:val="00D048AB"/>
    <w:rsid w:val="00D05C66"/>
    <w:rsid w:val="00D117C6"/>
    <w:rsid w:val="00D123F1"/>
    <w:rsid w:val="00D134D9"/>
    <w:rsid w:val="00D16EAA"/>
    <w:rsid w:val="00D17204"/>
    <w:rsid w:val="00D21F0C"/>
    <w:rsid w:val="00D23923"/>
    <w:rsid w:val="00D24340"/>
    <w:rsid w:val="00D24EB7"/>
    <w:rsid w:val="00D2643A"/>
    <w:rsid w:val="00D2665C"/>
    <w:rsid w:val="00D27A78"/>
    <w:rsid w:val="00D32315"/>
    <w:rsid w:val="00D33FF5"/>
    <w:rsid w:val="00D40195"/>
    <w:rsid w:val="00D40321"/>
    <w:rsid w:val="00D40B46"/>
    <w:rsid w:val="00D42F35"/>
    <w:rsid w:val="00D450D2"/>
    <w:rsid w:val="00D4519B"/>
    <w:rsid w:val="00D51A2D"/>
    <w:rsid w:val="00D5216A"/>
    <w:rsid w:val="00D530F4"/>
    <w:rsid w:val="00D55914"/>
    <w:rsid w:val="00D56FA7"/>
    <w:rsid w:val="00D62E09"/>
    <w:rsid w:val="00D62FC3"/>
    <w:rsid w:val="00D67DD1"/>
    <w:rsid w:val="00D70109"/>
    <w:rsid w:val="00D72874"/>
    <w:rsid w:val="00D77474"/>
    <w:rsid w:val="00D84ED8"/>
    <w:rsid w:val="00D87224"/>
    <w:rsid w:val="00D90133"/>
    <w:rsid w:val="00D92626"/>
    <w:rsid w:val="00D92A4C"/>
    <w:rsid w:val="00D9327A"/>
    <w:rsid w:val="00D9460C"/>
    <w:rsid w:val="00D953F6"/>
    <w:rsid w:val="00DA41B7"/>
    <w:rsid w:val="00DA71A9"/>
    <w:rsid w:val="00DB3275"/>
    <w:rsid w:val="00DC0415"/>
    <w:rsid w:val="00DC1B38"/>
    <w:rsid w:val="00DC5382"/>
    <w:rsid w:val="00DC6418"/>
    <w:rsid w:val="00DC6CBA"/>
    <w:rsid w:val="00DC74E7"/>
    <w:rsid w:val="00DC7F1E"/>
    <w:rsid w:val="00DD1BA1"/>
    <w:rsid w:val="00DD4334"/>
    <w:rsid w:val="00DD692E"/>
    <w:rsid w:val="00DD73EE"/>
    <w:rsid w:val="00DE00F7"/>
    <w:rsid w:val="00DE053D"/>
    <w:rsid w:val="00DE0850"/>
    <w:rsid w:val="00DE1CB9"/>
    <w:rsid w:val="00DE287A"/>
    <w:rsid w:val="00DE3D8C"/>
    <w:rsid w:val="00DE6074"/>
    <w:rsid w:val="00DE767C"/>
    <w:rsid w:val="00DF071D"/>
    <w:rsid w:val="00DF0928"/>
    <w:rsid w:val="00DF25E6"/>
    <w:rsid w:val="00DF5999"/>
    <w:rsid w:val="00DF7DBC"/>
    <w:rsid w:val="00E013CA"/>
    <w:rsid w:val="00E0318B"/>
    <w:rsid w:val="00E04B34"/>
    <w:rsid w:val="00E05620"/>
    <w:rsid w:val="00E15884"/>
    <w:rsid w:val="00E169B3"/>
    <w:rsid w:val="00E16C56"/>
    <w:rsid w:val="00E17C88"/>
    <w:rsid w:val="00E201D8"/>
    <w:rsid w:val="00E26E67"/>
    <w:rsid w:val="00E31961"/>
    <w:rsid w:val="00E32BC3"/>
    <w:rsid w:val="00E34798"/>
    <w:rsid w:val="00E360C6"/>
    <w:rsid w:val="00E40AB3"/>
    <w:rsid w:val="00E40C16"/>
    <w:rsid w:val="00E42249"/>
    <w:rsid w:val="00E44113"/>
    <w:rsid w:val="00E4645E"/>
    <w:rsid w:val="00E471F8"/>
    <w:rsid w:val="00E50038"/>
    <w:rsid w:val="00E544F7"/>
    <w:rsid w:val="00E56371"/>
    <w:rsid w:val="00E65F9E"/>
    <w:rsid w:val="00E66AA5"/>
    <w:rsid w:val="00E672C3"/>
    <w:rsid w:val="00E71839"/>
    <w:rsid w:val="00E72465"/>
    <w:rsid w:val="00E76E6A"/>
    <w:rsid w:val="00E773F7"/>
    <w:rsid w:val="00E77FAC"/>
    <w:rsid w:val="00E81CFF"/>
    <w:rsid w:val="00E83306"/>
    <w:rsid w:val="00E84449"/>
    <w:rsid w:val="00E8684C"/>
    <w:rsid w:val="00E86FD2"/>
    <w:rsid w:val="00E87069"/>
    <w:rsid w:val="00E90A87"/>
    <w:rsid w:val="00E938DE"/>
    <w:rsid w:val="00E9528C"/>
    <w:rsid w:val="00E96F6C"/>
    <w:rsid w:val="00E9724D"/>
    <w:rsid w:val="00EA05B3"/>
    <w:rsid w:val="00EA403D"/>
    <w:rsid w:val="00EA5844"/>
    <w:rsid w:val="00EA61E3"/>
    <w:rsid w:val="00EA6A35"/>
    <w:rsid w:val="00EA786B"/>
    <w:rsid w:val="00EB23B7"/>
    <w:rsid w:val="00EB24E8"/>
    <w:rsid w:val="00EB38AC"/>
    <w:rsid w:val="00EB3EA5"/>
    <w:rsid w:val="00EB442F"/>
    <w:rsid w:val="00EC0F51"/>
    <w:rsid w:val="00EC7902"/>
    <w:rsid w:val="00EC7EF7"/>
    <w:rsid w:val="00ED2589"/>
    <w:rsid w:val="00ED42E4"/>
    <w:rsid w:val="00ED7571"/>
    <w:rsid w:val="00EE06AF"/>
    <w:rsid w:val="00EE1042"/>
    <w:rsid w:val="00EE1BFD"/>
    <w:rsid w:val="00EE43E4"/>
    <w:rsid w:val="00EE586C"/>
    <w:rsid w:val="00EF01AD"/>
    <w:rsid w:val="00EF21E0"/>
    <w:rsid w:val="00EF2F31"/>
    <w:rsid w:val="00EF4998"/>
    <w:rsid w:val="00EF63E0"/>
    <w:rsid w:val="00F00182"/>
    <w:rsid w:val="00F01857"/>
    <w:rsid w:val="00F019FA"/>
    <w:rsid w:val="00F02148"/>
    <w:rsid w:val="00F03021"/>
    <w:rsid w:val="00F04B8A"/>
    <w:rsid w:val="00F05837"/>
    <w:rsid w:val="00F05BD5"/>
    <w:rsid w:val="00F07A9F"/>
    <w:rsid w:val="00F12A74"/>
    <w:rsid w:val="00F150A1"/>
    <w:rsid w:val="00F17300"/>
    <w:rsid w:val="00F2002F"/>
    <w:rsid w:val="00F208D6"/>
    <w:rsid w:val="00F21D4D"/>
    <w:rsid w:val="00F22FEC"/>
    <w:rsid w:val="00F2567B"/>
    <w:rsid w:val="00F25EBD"/>
    <w:rsid w:val="00F266D6"/>
    <w:rsid w:val="00F31B8A"/>
    <w:rsid w:val="00F33B2D"/>
    <w:rsid w:val="00F377ED"/>
    <w:rsid w:val="00F419EA"/>
    <w:rsid w:val="00F41B44"/>
    <w:rsid w:val="00F41E73"/>
    <w:rsid w:val="00F422F4"/>
    <w:rsid w:val="00F43BC8"/>
    <w:rsid w:val="00F516E4"/>
    <w:rsid w:val="00F54665"/>
    <w:rsid w:val="00F556FB"/>
    <w:rsid w:val="00F61AA3"/>
    <w:rsid w:val="00F62AEB"/>
    <w:rsid w:val="00F63B75"/>
    <w:rsid w:val="00F647FF"/>
    <w:rsid w:val="00F64D4E"/>
    <w:rsid w:val="00F6531C"/>
    <w:rsid w:val="00F6750E"/>
    <w:rsid w:val="00F67B95"/>
    <w:rsid w:val="00F67F98"/>
    <w:rsid w:val="00F7198C"/>
    <w:rsid w:val="00F72BD2"/>
    <w:rsid w:val="00F75100"/>
    <w:rsid w:val="00F81ACC"/>
    <w:rsid w:val="00F86D1A"/>
    <w:rsid w:val="00F9044D"/>
    <w:rsid w:val="00F908B7"/>
    <w:rsid w:val="00F93293"/>
    <w:rsid w:val="00F939C5"/>
    <w:rsid w:val="00FA67CE"/>
    <w:rsid w:val="00FB03DB"/>
    <w:rsid w:val="00FB0602"/>
    <w:rsid w:val="00FB112E"/>
    <w:rsid w:val="00FB628A"/>
    <w:rsid w:val="00FC00DA"/>
    <w:rsid w:val="00FC0FDE"/>
    <w:rsid w:val="00FC355A"/>
    <w:rsid w:val="00FC41BC"/>
    <w:rsid w:val="00FC4874"/>
    <w:rsid w:val="00FC5C13"/>
    <w:rsid w:val="00FC7C13"/>
    <w:rsid w:val="00FD7066"/>
    <w:rsid w:val="00FD7D11"/>
    <w:rsid w:val="00FE009A"/>
    <w:rsid w:val="00FE00EE"/>
    <w:rsid w:val="00FE0A58"/>
    <w:rsid w:val="00FE1C02"/>
    <w:rsid w:val="00FE2A6A"/>
    <w:rsid w:val="00FE375E"/>
    <w:rsid w:val="00FE3A39"/>
    <w:rsid w:val="00FE5EB9"/>
    <w:rsid w:val="00FF00D7"/>
    <w:rsid w:val="00FF038A"/>
    <w:rsid w:val="00FF095A"/>
    <w:rsid w:val="00FF51FB"/>
    <w:rsid w:val="00FF6AE6"/>
    <w:rsid w:val="00FF735F"/>
    <w:rsid w:val="00FF7C1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613004"/>
  <w15:docId w15:val="{A25299B6-80BC-4D84-9FD2-AB580B9DB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109"/>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Char Char Char Char Char Char Char Char Char Char Char Char Char Char Char,Char Char Char Char Char Char Char Char Char Char Char Char,Char Char Cha,Char1 Char,Обычный (веб)1,Обычный (веб) Знак,Char Char1,we"/>
    <w:basedOn w:val="Normal"/>
    <w:link w:val="NormalWebChar1"/>
    <w:uiPriority w:val="99"/>
    <w:qFormat/>
    <w:rsid w:val="00D70109"/>
    <w:pPr>
      <w:spacing w:before="100" w:beforeAutospacing="1" w:after="100" w:afterAutospacing="1"/>
    </w:pPr>
    <w:rPr>
      <w:sz w:val="24"/>
      <w:szCs w:val="24"/>
      <w:lang w:val="vi-VN" w:eastAsia="vi-VN"/>
    </w:rPr>
  </w:style>
  <w:style w:type="character" w:styleId="Hyperlink">
    <w:name w:val="Hyperlink"/>
    <w:basedOn w:val="DefaultParagraphFont"/>
    <w:uiPriority w:val="99"/>
    <w:unhideWhenUsed/>
    <w:rsid w:val="00D70109"/>
    <w:rPr>
      <w:color w:val="0000FF"/>
      <w:u w:val="single"/>
    </w:rPr>
  </w:style>
  <w:style w:type="paragraph" w:styleId="BodyText">
    <w:name w:val="Body Text"/>
    <w:basedOn w:val="Normal"/>
    <w:link w:val="BodyTextChar"/>
    <w:rsid w:val="00D70109"/>
    <w:pPr>
      <w:spacing w:before="120"/>
      <w:jc w:val="both"/>
    </w:pPr>
  </w:style>
  <w:style w:type="paragraph" w:styleId="BodyTextIndent3">
    <w:name w:val="Body Text Indent 3"/>
    <w:basedOn w:val="Normal"/>
    <w:rsid w:val="00D70109"/>
    <w:pPr>
      <w:spacing w:after="120"/>
      <w:ind w:left="283"/>
    </w:pPr>
    <w:rPr>
      <w:sz w:val="16"/>
      <w:szCs w:val="16"/>
    </w:rPr>
  </w:style>
  <w:style w:type="paragraph" w:styleId="Footer">
    <w:name w:val="footer"/>
    <w:basedOn w:val="Normal"/>
    <w:rsid w:val="00D70109"/>
    <w:pPr>
      <w:tabs>
        <w:tab w:val="center" w:pos="4153"/>
        <w:tab w:val="right" w:pos="8306"/>
      </w:tabs>
    </w:pPr>
  </w:style>
  <w:style w:type="character" w:styleId="PageNumber">
    <w:name w:val="page number"/>
    <w:basedOn w:val="DefaultParagraphFont"/>
    <w:rsid w:val="00D70109"/>
  </w:style>
  <w:style w:type="paragraph" w:customStyle="1" w:styleId="CharCharChar">
    <w:name w:val="Char Char Char"/>
    <w:basedOn w:val="Normal"/>
    <w:rsid w:val="00D70109"/>
    <w:pPr>
      <w:spacing w:after="160" w:line="240" w:lineRule="exact"/>
    </w:pPr>
    <w:rPr>
      <w:rFonts w:ascii="Tahoma" w:eastAsia="PMingLiU" w:hAnsi="Tahoma"/>
      <w:sz w:val="20"/>
      <w:szCs w:val="20"/>
    </w:rPr>
  </w:style>
  <w:style w:type="paragraph" w:styleId="ListParagraph">
    <w:name w:val="List Paragraph"/>
    <w:basedOn w:val="Normal"/>
    <w:uiPriority w:val="34"/>
    <w:qFormat/>
    <w:rsid w:val="00987BB2"/>
    <w:pPr>
      <w:ind w:left="720"/>
      <w:contextualSpacing/>
    </w:pPr>
  </w:style>
  <w:style w:type="character" w:customStyle="1" w:styleId="BodyTextChar">
    <w:name w:val="Body Text Char"/>
    <w:basedOn w:val="DefaultParagraphFont"/>
    <w:link w:val="BodyText"/>
    <w:rsid w:val="0075685B"/>
    <w:rPr>
      <w:sz w:val="28"/>
      <w:szCs w:val="28"/>
    </w:rPr>
  </w:style>
  <w:style w:type="paragraph" w:styleId="Header">
    <w:name w:val="header"/>
    <w:basedOn w:val="Normal"/>
    <w:link w:val="HeaderChar"/>
    <w:uiPriority w:val="99"/>
    <w:unhideWhenUsed/>
    <w:rsid w:val="00834E56"/>
    <w:pPr>
      <w:tabs>
        <w:tab w:val="center" w:pos="4680"/>
        <w:tab w:val="right" w:pos="9360"/>
      </w:tabs>
    </w:pPr>
  </w:style>
  <w:style w:type="character" w:customStyle="1" w:styleId="HeaderChar">
    <w:name w:val="Header Char"/>
    <w:basedOn w:val="DefaultParagraphFont"/>
    <w:link w:val="Header"/>
    <w:uiPriority w:val="99"/>
    <w:rsid w:val="00834E56"/>
    <w:rPr>
      <w:sz w:val="28"/>
      <w:szCs w:val="28"/>
    </w:rPr>
  </w:style>
  <w:style w:type="paragraph" w:styleId="BalloonText">
    <w:name w:val="Balloon Text"/>
    <w:basedOn w:val="Normal"/>
    <w:link w:val="BalloonTextChar"/>
    <w:semiHidden/>
    <w:unhideWhenUsed/>
    <w:rsid w:val="00620446"/>
    <w:rPr>
      <w:rFonts w:ascii="Segoe UI" w:hAnsi="Segoe UI" w:cs="Segoe UI"/>
      <w:sz w:val="18"/>
      <w:szCs w:val="18"/>
    </w:rPr>
  </w:style>
  <w:style w:type="character" w:customStyle="1" w:styleId="BalloonTextChar">
    <w:name w:val="Balloon Text Char"/>
    <w:basedOn w:val="DefaultParagraphFont"/>
    <w:link w:val="BalloonText"/>
    <w:semiHidden/>
    <w:rsid w:val="00620446"/>
    <w:rPr>
      <w:rFonts w:ascii="Segoe UI" w:hAnsi="Segoe UI" w:cs="Segoe UI"/>
      <w:sz w:val="18"/>
      <w:szCs w:val="18"/>
    </w:rPr>
  </w:style>
  <w:style w:type="table" w:styleId="TableGrid">
    <w:name w:val="Table Grid"/>
    <w:basedOn w:val="TableNormal"/>
    <w:uiPriority w:val="59"/>
    <w:rsid w:val="00D5591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05NidungVB">
    <w:name w:val="05 Nội dung VB"/>
    <w:basedOn w:val="Normal"/>
    <w:link w:val="05NidungVBChar"/>
    <w:rsid w:val="006875EF"/>
    <w:pPr>
      <w:widowControl w:val="0"/>
      <w:spacing w:after="120" w:line="400" w:lineRule="atLeast"/>
      <w:ind w:firstLine="567"/>
      <w:jc w:val="both"/>
    </w:pPr>
  </w:style>
  <w:style w:type="character" w:customStyle="1" w:styleId="05NidungVBChar">
    <w:name w:val="05 Nội dung VB Char"/>
    <w:basedOn w:val="DefaultParagraphFont"/>
    <w:link w:val="05NidungVB"/>
    <w:locked/>
    <w:rsid w:val="006875EF"/>
    <w:rPr>
      <w:sz w:val="28"/>
      <w:szCs w:val="28"/>
    </w:rPr>
  </w:style>
  <w:style w:type="character" w:customStyle="1" w:styleId="NormalWebChar1">
    <w:name w:val="Normal (Web) Char1"/>
    <w:aliases w:val="Normal (Web) Char Char,Char Char Char Char Char Char Char Char Char Char Char Char Char Char Char Char,Char Char Char Char Char Char Char Char Char Char Char Char Char,Char Char Cha Char,Char1 Char Char,Обычный (веб)1 Char,we Char"/>
    <w:link w:val="NormalWeb"/>
    <w:uiPriority w:val="99"/>
    <w:locked/>
    <w:rsid w:val="00391AA3"/>
    <w:rPr>
      <w:sz w:val="24"/>
      <w:szCs w:val="24"/>
      <w:lang w:val="vi-VN" w:eastAsia="vi-VN"/>
    </w:rPr>
  </w:style>
  <w:style w:type="paragraph" w:styleId="BodyText2">
    <w:name w:val="Body Text 2"/>
    <w:basedOn w:val="Normal"/>
    <w:link w:val="BodyText2Char"/>
    <w:semiHidden/>
    <w:unhideWhenUsed/>
    <w:rsid w:val="0008734D"/>
    <w:pPr>
      <w:spacing w:after="120" w:line="480" w:lineRule="auto"/>
    </w:pPr>
  </w:style>
  <w:style w:type="character" w:customStyle="1" w:styleId="BodyText2Char">
    <w:name w:val="Body Text 2 Char"/>
    <w:basedOn w:val="DefaultParagraphFont"/>
    <w:link w:val="BodyText2"/>
    <w:semiHidden/>
    <w:rsid w:val="0008734D"/>
    <w:rPr>
      <w:sz w:val="28"/>
      <w:szCs w:val="28"/>
    </w:rPr>
  </w:style>
  <w:style w:type="paragraph" w:customStyle="1" w:styleId="CharCharCharChar">
    <w:name w:val="Char Char Char Char"/>
    <w:basedOn w:val="Normal"/>
    <w:rsid w:val="0099575B"/>
    <w:pPr>
      <w:pageBreakBefore/>
      <w:spacing w:before="100" w:beforeAutospacing="1" w:after="100" w:afterAutospacing="1"/>
      <w:jc w:val="both"/>
    </w:pPr>
    <w:rPr>
      <w:rFonts w:ascii="Tahoma" w:hAnsi="Tahoma"/>
      <w:sz w:val="20"/>
      <w:szCs w:val="20"/>
    </w:rPr>
  </w:style>
  <w:style w:type="paragraph" w:customStyle="1" w:styleId="CharCharCharChar0">
    <w:name w:val="Char Char Char Char"/>
    <w:basedOn w:val="Normal"/>
    <w:rsid w:val="00A54B30"/>
    <w:pPr>
      <w:pageBreakBefore/>
      <w:spacing w:before="100" w:beforeAutospacing="1" w:after="100" w:afterAutospacing="1"/>
      <w:jc w:val="both"/>
    </w:pPr>
    <w:rPr>
      <w:rFonts w:ascii="Tahoma" w:hAnsi="Tahoma"/>
      <w:sz w:val="20"/>
      <w:szCs w:val="20"/>
    </w:rPr>
  </w:style>
  <w:style w:type="paragraph" w:customStyle="1" w:styleId="CharCharCharChar1">
    <w:name w:val="Char Char Char Char"/>
    <w:basedOn w:val="Normal"/>
    <w:rsid w:val="00D72874"/>
    <w:pPr>
      <w:pageBreakBefore/>
      <w:spacing w:before="100" w:beforeAutospacing="1" w:after="100" w:afterAutospacing="1"/>
      <w:jc w:val="both"/>
    </w:pPr>
    <w:rPr>
      <w:rFonts w:ascii="Tahoma" w:hAnsi="Tahoma"/>
      <w:sz w:val="20"/>
      <w:szCs w:val="20"/>
    </w:rPr>
  </w:style>
  <w:style w:type="paragraph" w:customStyle="1" w:styleId="CharCharCharChar2">
    <w:name w:val="Char Char Char Char"/>
    <w:basedOn w:val="Normal"/>
    <w:rsid w:val="0078183F"/>
    <w:pPr>
      <w:pageBreakBefore/>
      <w:spacing w:before="100" w:beforeAutospacing="1" w:after="100" w:afterAutospacing="1"/>
      <w:jc w:val="both"/>
    </w:pPr>
    <w:rPr>
      <w:rFonts w:ascii="Tahoma" w:hAnsi="Tahoma"/>
      <w:sz w:val="20"/>
      <w:szCs w:val="20"/>
    </w:rPr>
  </w:style>
  <w:style w:type="paragraph" w:customStyle="1" w:styleId="CharCharCharChar3">
    <w:name w:val=" Char Char Char Char"/>
    <w:basedOn w:val="Normal"/>
    <w:rsid w:val="00E360C6"/>
    <w:pPr>
      <w:pageBreakBefore/>
      <w:spacing w:before="100" w:beforeAutospacing="1" w:after="100" w:afterAutospacing="1"/>
      <w:jc w:val="both"/>
    </w:pPr>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92410">
      <w:bodyDiv w:val="1"/>
      <w:marLeft w:val="0"/>
      <w:marRight w:val="0"/>
      <w:marTop w:val="0"/>
      <w:marBottom w:val="0"/>
      <w:divBdr>
        <w:top w:val="none" w:sz="0" w:space="0" w:color="auto"/>
        <w:left w:val="none" w:sz="0" w:space="0" w:color="auto"/>
        <w:bottom w:val="none" w:sz="0" w:space="0" w:color="auto"/>
        <w:right w:val="none" w:sz="0" w:space="0" w:color="auto"/>
      </w:divBdr>
    </w:div>
    <w:div w:id="382489446">
      <w:bodyDiv w:val="1"/>
      <w:marLeft w:val="0"/>
      <w:marRight w:val="0"/>
      <w:marTop w:val="0"/>
      <w:marBottom w:val="0"/>
      <w:divBdr>
        <w:top w:val="none" w:sz="0" w:space="0" w:color="auto"/>
        <w:left w:val="none" w:sz="0" w:space="0" w:color="auto"/>
        <w:bottom w:val="none" w:sz="0" w:space="0" w:color="auto"/>
        <w:right w:val="none" w:sz="0" w:space="0" w:color="auto"/>
      </w:divBdr>
    </w:div>
    <w:div w:id="495803631">
      <w:bodyDiv w:val="1"/>
      <w:marLeft w:val="0"/>
      <w:marRight w:val="0"/>
      <w:marTop w:val="0"/>
      <w:marBottom w:val="0"/>
      <w:divBdr>
        <w:top w:val="none" w:sz="0" w:space="0" w:color="auto"/>
        <w:left w:val="none" w:sz="0" w:space="0" w:color="auto"/>
        <w:bottom w:val="none" w:sz="0" w:space="0" w:color="auto"/>
        <w:right w:val="none" w:sz="0" w:space="0" w:color="auto"/>
      </w:divBdr>
    </w:div>
    <w:div w:id="546141742">
      <w:bodyDiv w:val="1"/>
      <w:marLeft w:val="0"/>
      <w:marRight w:val="0"/>
      <w:marTop w:val="0"/>
      <w:marBottom w:val="0"/>
      <w:divBdr>
        <w:top w:val="none" w:sz="0" w:space="0" w:color="auto"/>
        <w:left w:val="none" w:sz="0" w:space="0" w:color="auto"/>
        <w:bottom w:val="none" w:sz="0" w:space="0" w:color="auto"/>
        <w:right w:val="none" w:sz="0" w:space="0" w:color="auto"/>
      </w:divBdr>
    </w:div>
    <w:div w:id="722409963">
      <w:bodyDiv w:val="1"/>
      <w:marLeft w:val="0"/>
      <w:marRight w:val="0"/>
      <w:marTop w:val="0"/>
      <w:marBottom w:val="0"/>
      <w:divBdr>
        <w:top w:val="none" w:sz="0" w:space="0" w:color="auto"/>
        <w:left w:val="none" w:sz="0" w:space="0" w:color="auto"/>
        <w:bottom w:val="none" w:sz="0" w:space="0" w:color="auto"/>
        <w:right w:val="none" w:sz="0" w:space="0" w:color="auto"/>
      </w:divBdr>
    </w:div>
    <w:div w:id="852496465">
      <w:bodyDiv w:val="1"/>
      <w:marLeft w:val="0"/>
      <w:marRight w:val="0"/>
      <w:marTop w:val="0"/>
      <w:marBottom w:val="0"/>
      <w:divBdr>
        <w:top w:val="none" w:sz="0" w:space="0" w:color="auto"/>
        <w:left w:val="none" w:sz="0" w:space="0" w:color="auto"/>
        <w:bottom w:val="none" w:sz="0" w:space="0" w:color="auto"/>
        <w:right w:val="none" w:sz="0" w:space="0" w:color="auto"/>
      </w:divBdr>
    </w:div>
    <w:div w:id="858274846">
      <w:bodyDiv w:val="1"/>
      <w:marLeft w:val="0"/>
      <w:marRight w:val="0"/>
      <w:marTop w:val="0"/>
      <w:marBottom w:val="0"/>
      <w:divBdr>
        <w:top w:val="none" w:sz="0" w:space="0" w:color="auto"/>
        <w:left w:val="none" w:sz="0" w:space="0" w:color="auto"/>
        <w:bottom w:val="none" w:sz="0" w:space="0" w:color="auto"/>
        <w:right w:val="none" w:sz="0" w:space="0" w:color="auto"/>
      </w:divBdr>
    </w:div>
    <w:div w:id="1144859587">
      <w:bodyDiv w:val="1"/>
      <w:marLeft w:val="0"/>
      <w:marRight w:val="0"/>
      <w:marTop w:val="0"/>
      <w:marBottom w:val="0"/>
      <w:divBdr>
        <w:top w:val="none" w:sz="0" w:space="0" w:color="auto"/>
        <w:left w:val="none" w:sz="0" w:space="0" w:color="auto"/>
        <w:bottom w:val="none" w:sz="0" w:space="0" w:color="auto"/>
        <w:right w:val="none" w:sz="0" w:space="0" w:color="auto"/>
      </w:divBdr>
    </w:div>
    <w:div w:id="1281650123">
      <w:bodyDiv w:val="1"/>
      <w:marLeft w:val="0"/>
      <w:marRight w:val="0"/>
      <w:marTop w:val="0"/>
      <w:marBottom w:val="0"/>
      <w:divBdr>
        <w:top w:val="none" w:sz="0" w:space="0" w:color="auto"/>
        <w:left w:val="none" w:sz="0" w:space="0" w:color="auto"/>
        <w:bottom w:val="none" w:sz="0" w:space="0" w:color="auto"/>
        <w:right w:val="none" w:sz="0" w:space="0" w:color="auto"/>
      </w:divBdr>
    </w:div>
    <w:div w:id="1314525878">
      <w:bodyDiv w:val="1"/>
      <w:marLeft w:val="0"/>
      <w:marRight w:val="0"/>
      <w:marTop w:val="0"/>
      <w:marBottom w:val="0"/>
      <w:divBdr>
        <w:top w:val="none" w:sz="0" w:space="0" w:color="auto"/>
        <w:left w:val="none" w:sz="0" w:space="0" w:color="auto"/>
        <w:bottom w:val="none" w:sz="0" w:space="0" w:color="auto"/>
        <w:right w:val="none" w:sz="0" w:space="0" w:color="auto"/>
      </w:divBdr>
    </w:div>
    <w:div w:id="1596161284">
      <w:bodyDiv w:val="1"/>
      <w:marLeft w:val="0"/>
      <w:marRight w:val="0"/>
      <w:marTop w:val="0"/>
      <w:marBottom w:val="0"/>
      <w:divBdr>
        <w:top w:val="none" w:sz="0" w:space="0" w:color="auto"/>
        <w:left w:val="none" w:sz="0" w:space="0" w:color="auto"/>
        <w:bottom w:val="none" w:sz="0" w:space="0" w:color="auto"/>
        <w:right w:val="none" w:sz="0" w:space="0" w:color="auto"/>
      </w:divBdr>
    </w:div>
    <w:div w:id="1645155025">
      <w:bodyDiv w:val="1"/>
      <w:marLeft w:val="0"/>
      <w:marRight w:val="0"/>
      <w:marTop w:val="0"/>
      <w:marBottom w:val="0"/>
      <w:divBdr>
        <w:top w:val="none" w:sz="0" w:space="0" w:color="auto"/>
        <w:left w:val="none" w:sz="0" w:space="0" w:color="auto"/>
        <w:bottom w:val="none" w:sz="0" w:space="0" w:color="auto"/>
        <w:right w:val="none" w:sz="0" w:space="0" w:color="auto"/>
      </w:divBdr>
    </w:div>
    <w:div w:id="1771470003">
      <w:bodyDiv w:val="1"/>
      <w:marLeft w:val="0"/>
      <w:marRight w:val="0"/>
      <w:marTop w:val="0"/>
      <w:marBottom w:val="0"/>
      <w:divBdr>
        <w:top w:val="none" w:sz="0" w:space="0" w:color="auto"/>
        <w:left w:val="none" w:sz="0" w:space="0" w:color="auto"/>
        <w:bottom w:val="none" w:sz="0" w:space="0" w:color="auto"/>
        <w:right w:val="none" w:sz="0" w:space="0" w:color="auto"/>
      </w:divBdr>
    </w:div>
    <w:div w:id="1946426760">
      <w:bodyDiv w:val="1"/>
      <w:marLeft w:val="0"/>
      <w:marRight w:val="0"/>
      <w:marTop w:val="0"/>
      <w:marBottom w:val="0"/>
      <w:divBdr>
        <w:top w:val="none" w:sz="0" w:space="0" w:color="auto"/>
        <w:left w:val="none" w:sz="0" w:space="0" w:color="auto"/>
        <w:bottom w:val="none" w:sz="0" w:space="0" w:color="auto"/>
        <w:right w:val="none" w:sz="0" w:space="0" w:color="auto"/>
      </w:divBdr>
    </w:div>
    <w:div w:id="2053916668">
      <w:bodyDiv w:val="1"/>
      <w:marLeft w:val="0"/>
      <w:marRight w:val="0"/>
      <w:marTop w:val="0"/>
      <w:marBottom w:val="0"/>
      <w:divBdr>
        <w:top w:val="none" w:sz="0" w:space="0" w:color="auto"/>
        <w:left w:val="none" w:sz="0" w:space="0" w:color="auto"/>
        <w:bottom w:val="none" w:sz="0" w:space="0" w:color="auto"/>
        <w:right w:val="none" w:sz="0" w:space="0" w:color="auto"/>
      </w:divBdr>
    </w:div>
    <w:div w:id="213316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9ED1B-78B5-490D-BF4E-531743520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1516</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Giá công sản - Sở Tài chính</vt:lpstr>
    </vt:vector>
  </TitlesOfParts>
  <Company>HOME</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 công sản - Sở Tài chính</dc:title>
  <dc:subject/>
  <dc:creator>User</dc:creator>
  <cp:keywords/>
  <dc:description/>
  <cp:lastModifiedBy>Administrator</cp:lastModifiedBy>
  <cp:revision>18</cp:revision>
  <cp:lastPrinted>2025-06-10T06:22:00Z</cp:lastPrinted>
  <dcterms:created xsi:type="dcterms:W3CDTF">2025-06-10T03:18:00Z</dcterms:created>
  <dcterms:modified xsi:type="dcterms:W3CDTF">2025-06-10T06:30:00Z</dcterms:modified>
</cp:coreProperties>
</file>